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74" w:rsidRPr="00E04D44" w:rsidRDefault="00292174" w:rsidP="00292174">
      <w:pPr>
        <w:pStyle w:val="Titre1"/>
        <w:rPr>
          <w:rFonts w:ascii="Verdana" w:hAnsi="Verdana"/>
          <w:lang w:val="nl-BE"/>
        </w:rPr>
      </w:pPr>
      <w:r w:rsidRPr="00E04D44">
        <w:rPr>
          <w:rFonts w:ascii="Verdana" w:hAnsi="Verdana"/>
          <w:lang w:val="nl-BE"/>
        </w:rPr>
        <w:t>Artikel 5: Gelijkheid en non-discriminatie</w:t>
      </w:r>
    </w:p>
    <w:p w:rsidR="00292174" w:rsidRPr="00E04D44" w:rsidRDefault="00292174" w:rsidP="00292174">
      <w:pPr>
        <w:pStyle w:val="Titre2"/>
        <w:rPr>
          <w:rFonts w:ascii="Verdana" w:hAnsi="Verdana"/>
          <w:lang w:val="nl-BE"/>
        </w:rPr>
      </w:pPr>
      <w:r w:rsidRPr="00E04D44">
        <w:rPr>
          <w:rFonts w:ascii="Verdana" w:hAnsi="Verdana"/>
          <w:lang w:val="nl-BE"/>
        </w:rPr>
        <w:t xml:space="preserve">C. Vaststellingen op het terrein </w:t>
      </w:r>
    </w:p>
    <w:p w:rsidR="00292174" w:rsidRPr="00E04D44" w:rsidRDefault="001B3C28" w:rsidP="00292174">
      <w:pPr>
        <w:pStyle w:val="Titre3"/>
        <w:rPr>
          <w:rFonts w:ascii="Verdana" w:hAnsi="Verdana"/>
          <w:lang w:val="nl-BE"/>
        </w:rPr>
      </w:pPr>
      <w:r w:rsidRPr="00E04D44">
        <w:rPr>
          <w:rFonts w:ascii="Verdana" w:hAnsi="Verdana"/>
          <w:lang w:val="nl-BE"/>
        </w:rPr>
        <w:t>Een transversaal thema</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Artikel 5 van het Verdrag legt de vereisten vast op het vlak van gelijke behandeling en non-discriminatie. Het gaat om principes die België</w:t>
      </w:r>
      <w:r w:rsidR="009805C6">
        <w:rPr>
          <w:rFonts w:ascii="Verdana" w:hAnsi="Verdana"/>
          <w:sz w:val="22"/>
          <w:szCs w:val="22"/>
          <w:lang w:val="nl-BE"/>
        </w:rPr>
        <w:t xml:space="preserve"> </w:t>
      </w:r>
      <w:r w:rsidR="00D16951">
        <w:rPr>
          <w:rFonts w:ascii="Verdana" w:hAnsi="Verdana"/>
          <w:sz w:val="22"/>
          <w:szCs w:val="22"/>
          <w:lang w:val="nl-BE"/>
        </w:rPr>
        <w:t>sinds</w:t>
      </w:r>
      <w:r w:rsidRPr="00655AA4">
        <w:rPr>
          <w:rFonts w:ascii="Verdana" w:hAnsi="Verdana"/>
          <w:sz w:val="22"/>
          <w:szCs w:val="22"/>
          <w:lang w:val="nl-BE"/>
        </w:rPr>
        <w:t xml:space="preserve"> 198</w:t>
      </w:r>
      <w:r w:rsidR="00A36316">
        <w:rPr>
          <w:rFonts w:ascii="Verdana" w:hAnsi="Verdana"/>
          <w:sz w:val="22"/>
          <w:szCs w:val="22"/>
          <w:lang w:val="nl-BE"/>
        </w:rPr>
        <w:t>1</w:t>
      </w:r>
      <w:r w:rsidRPr="00655AA4">
        <w:rPr>
          <w:rFonts w:ascii="Verdana" w:hAnsi="Verdana"/>
          <w:sz w:val="22"/>
          <w:szCs w:val="22"/>
          <w:lang w:val="nl-BE"/>
        </w:rPr>
        <w:t xml:space="preserve"> in zijn wetgeving is beginnen integreren</w:t>
      </w:r>
      <w:r w:rsidR="00D16951">
        <w:rPr>
          <w:rFonts w:ascii="Verdana" w:hAnsi="Verdana"/>
          <w:sz w:val="22"/>
          <w:szCs w:val="22"/>
          <w:lang w:val="nl-BE"/>
        </w:rPr>
        <w:t xml:space="preserve"> </w:t>
      </w:r>
      <w:r w:rsidRPr="00655AA4">
        <w:rPr>
          <w:rStyle w:val="Appelnotedebasdep"/>
          <w:rFonts w:ascii="Verdana" w:eastAsiaTheme="majorEastAsia" w:hAnsi="Verdana"/>
          <w:sz w:val="22"/>
          <w:szCs w:val="22"/>
          <w:lang w:val="nl-BE"/>
        </w:rPr>
        <w:footnoteReference w:id="1"/>
      </w:r>
      <w:r w:rsidRPr="00655AA4">
        <w:rPr>
          <w:rFonts w:ascii="Verdana" w:hAnsi="Verdana"/>
          <w:sz w:val="22"/>
          <w:szCs w:val="22"/>
          <w:lang w:val="nl-BE"/>
        </w:rPr>
        <w:t xml:space="preserve">.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Op wettelijk niveau hebben alle burgers dezelfde rechten en genieten ze dezelfde bescherming. Ook wat discriminatie betreft. Personen met een handicap hebben dezelfde rechten als alle andere personen.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Concreet stellen de </w:t>
      </w:r>
      <w:proofErr w:type="spellStart"/>
      <w:r w:rsidRPr="00655AA4">
        <w:rPr>
          <w:rFonts w:ascii="Verdana" w:hAnsi="Verdana"/>
          <w:sz w:val="22"/>
          <w:szCs w:val="22"/>
          <w:lang w:val="nl-BE"/>
        </w:rPr>
        <w:t>ROPH's</w:t>
      </w:r>
      <w:proofErr w:type="spellEnd"/>
      <w:r w:rsidRPr="00655AA4">
        <w:rPr>
          <w:rFonts w:ascii="Verdana" w:hAnsi="Verdana"/>
          <w:sz w:val="22"/>
          <w:szCs w:val="22"/>
          <w:lang w:val="nl-BE"/>
        </w:rPr>
        <w:t xml:space="preserve"> en de </w:t>
      </w:r>
      <w:proofErr w:type="spellStart"/>
      <w:r w:rsidRPr="00655AA4">
        <w:rPr>
          <w:rFonts w:ascii="Verdana" w:hAnsi="Verdana"/>
          <w:sz w:val="22"/>
          <w:szCs w:val="22"/>
          <w:lang w:val="nl-BE"/>
        </w:rPr>
        <w:t>ARPH's</w:t>
      </w:r>
      <w:proofErr w:type="spellEnd"/>
      <w:r w:rsidRPr="00655AA4">
        <w:rPr>
          <w:rFonts w:ascii="Verdana" w:hAnsi="Verdana"/>
          <w:sz w:val="22"/>
          <w:szCs w:val="22"/>
          <w:lang w:val="nl-BE"/>
        </w:rPr>
        <w:t xml:space="preserve"> echter vast dat personen met een handicap nog steeds regelmatig worden geconfronteerd met discriminatie.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Na de opname van deze principes in de regelgeving, moeten ook de denkwijzen </w:t>
      </w:r>
      <w:r w:rsidR="00EA042B">
        <w:rPr>
          <w:rFonts w:ascii="Verdana" w:hAnsi="Verdana"/>
          <w:sz w:val="22"/>
          <w:szCs w:val="22"/>
          <w:lang w:val="nl-BE"/>
        </w:rPr>
        <w:t xml:space="preserve">en de praktijken </w:t>
      </w:r>
      <w:r w:rsidRPr="00655AA4">
        <w:rPr>
          <w:rFonts w:ascii="Verdana" w:hAnsi="Verdana"/>
          <w:sz w:val="22"/>
          <w:szCs w:val="22"/>
          <w:lang w:val="nl-BE"/>
        </w:rPr>
        <w:t>evolueren. Na ongeveer 25 jaar, zou men redelijkerwijs concrete resultaten mogen verwachten op dat vlak. In werkelijkheid is dat nog onvoldoende het geval.</w:t>
      </w:r>
    </w:p>
    <w:p w:rsidR="00B41AA3" w:rsidRDefault="00292174" w:rsidP="00B41AA3">
      <w:pPr>
        <w:numPr>
          <w:ilvl w:val="0"/>
          <w:numId w:val="8"/>
        </w:numPr>
        <w:ind w:left="426" w:hanging="567"/>
        <w:rPr>
          <w:rFonts w:ascii="Verdana" w:hAnsi="Verdana"/>
          <w:sz w:val="22"/>
          <w:szCs w:val="22"/>
          <w:lang w:val="nl-BE"/>
        </w:rPr>
      </w:pPr>
      <w:r w:rsidRPr="00655AA4">
        <w:rPr>
          <w:rFonts w:ascii="Verdana" w:hAnsi="Verdana"/>
          <w:sz w:val="22"/>
          <w:szCs w:val="22"/>
          <w:lang w:val="nl-BE"/>
        </w:rPr>
        <w:t xml:space="preserve">Non-discriminatie is vanzelfsprekend een transversaal thema, dat we hier </w:t>
      </w:r>
      <w:r>
        <w:rPr>
          <w:rFonts w:ascii="Verdana" w:hAnsi="Verdana"/>
          <w:sz w:val="22"/>
          <w:szCs w:val="22"/>
          <w:lang w:val="nl-BE"/>
        </w:rPr>
        <w:t>globaal bespreken</w:t>
      </w:r>
      <w:r w:rsidRPr="00655AA4">
        <w:rPr>
          <w:rFonts w:ascii="Verdana" w:hAnsi="Verdana"/>
          <w:sz w:val="22"/>
          <w:szCs w:val="22"/>
          <w:lang w:val="nl-BE"/>
        </w:rPr>
        <w:t>. Er zal wel naar worden verwezen in de hoofdstukken met betrekking tot de verschillende artikelen.</w:t>
      </w:r>
    </w:p>
    <w:p w:rsidR="00292174" w:rsidRPr="009C24D4" w:rsidRDefault="00292174" w:rsidP="009C24D4">
      <w:pPr>
        <w:pStyle w:val="Titre3"/>
        <w:rPr>
          <w:rFonts w:ascii="Verdana" w:hAnsi="Verdana"/>
          <w:lang w:val="nl-BE"/>
        </w:rPr>
      </w:pPr>
      <w:r w:rsidRPr="009C24D4">
        <w:rPr>
          <w:rFonts w:ascii="Verdana" w:hAnsi="Verdana"/>
          <w:sz w:val="22"/>
          <w:szCs w:val="22"/>
          <w:lang w:val="nl-BE"/>
        </w:rPr>
        <w:t xml:space="preserve"> </w:t>
      </w:r>
      <w:r w:rsidRPr="009C24D4">
        <w:rPr>
          <w:rFonts w:ascii="Verdana" w:hAnsi="Verdana"/>
          <w:lang w:val="nl-BE"/>
        </w:rPr>
        <w:t>De bestaande instrumenten</w:t>
      </w:r>
    </w:p>
    <w:p w:rsidR="00292174" w:rsidRPr="00655AA4" w:rsidRDefault="00292174" w:rsidP="00292174">
      <w:pPr>
        <w:numPr>
          <w:ilvl w:val="0"/>
          <w:numId w:val="8"/>
        </w:numPr>
        <w:spacing w:after="120"/>
        <w:ind w:left="426" w:hanging="567"/>
        <w:rPr>
          <w:rFonts w:ascii="Verdana" w:hAnsi="Verdana" w:cs="Arial"/>
          <w:sz w:val="22"/>
          <w:szCs w:val="22"/>
          <w:shd w:val="clear" w:color="auto" w:fill="FFFFFF"/>
          <w:lang w:val="nl-BE"/>
        </w:rPr>
      </w:pPr>
      <w:r w:rsidRPr="00655AA4">
        <w:rPr>
          <w:rFonts w:ascii="Verdana" w:hAnsi="Verdana"/>
          <w:sz w:val="22"/>
          <w:szCs w:val="22"/>
          <w:lang w:val="nl-BE"/>
        </w:rPr>
        <w:t>Wanneer een persoon in België vindt dat hij het slachtoffer is van discriminatie, kan hij zich beroepen op de wet van 10 mei 2007 en de verschillende regionale decreten</w:t>
      </w:r>
      <w:r w:rsidR="00C016DA">
        <w:rPr>
          <w:rFonts w:ascii="Verdana" w:hAnsi="Verdana"/>
          <w:sz w:val="22"/>
          <w:szCs w:val="22"/>
          <w:lang w:val="nl-BE"/>
        </w:rPr>
        <w:t xml:space="preserve"> </w:t>
      </w:r>
      <w:r w:rsidRPr="00655AA4">
        <w:rPr>
          <w:rStyle w:val="Appelnotedebasdep"/>
          <w:rFonts w:ascii="Verdana" w:eastAsiaTheme="majorEastAsia" w:hAnsi="Verdana"/>
          <w:sz w:val="22"/>
          <w:szCs w:val="22"/>
          <w:lang w:val="nl-BE"/>
        </w:rPr>
        <w:footnoteReference w:id="2"/>
      </w:r>
      <w:r w:rsidR="00114C46">
        <w:rPr>
          <w:rFonts w:ascii="Verdana" w:hAnsi="Verdana"/>
          <w:sz w:val="22"/>
          <w:szCs w:val="22"/>
          <w:lang w:val="nl-BE"/>
        </w:rPr>
        <w:t>.</w:t>
      </w:r>
      <w:r w:rsidRPr="00655AA4">
        <w:rPr>
          <w:rFonts w:ascii="Verdana" w:hAnsi="Verdana"/>
          <w:sz w:val="22"/>
          <w:szCs w:val="22"/>
          <w:lang w:val="nl-BE"/>
        </w:rPr>
        <w:t xml:space="preserve"> De</w:t>
      </w:r>
      <w:r w:rsidR="00114C46">
        <w:rPr>
          <w:rFonts w:ascii="Verdana" w:hAnsi="Verdana"/>
          <w:sz w:val="22"/>
          <w:szCs w:val="22"/>
          <w:lang w:val="nl-BE"/>
        </w:rPr>
        <w:t>ze</w:t>
      </w:r>
      <w:r w:rsidRPr="00655AA4">
        <w:rPr>
          <w:rFonts w:ascii="Verdana" w:hAnsi="Verdana"/>
          <w:sz w:val="22"/>
          <w:szCs w:val="22"/>
          <w:lang w:val="nl-BE"/>
        </w:rPr>
        <w:t xml:space="preserve"> zet</w:t>
      </w:r>
      <w:r w:rsidR="00114C46">
        <w:rPr>
          <w:rFonts w:ascii="Verdana" w:hAnsi="Verdana"/>
          <w:sz w:val="22"/>
          <w:szCs w:val="22"/>
          <w:lang w:val="nl-BE"/>
        </w:rPr>
        <w:t>ten</w:t>
      </w:r>
      <w:r w:rsidRPr="00655AA4">
        <w:rPr>
          <w:rFonts w:ascii="Verdana" w:hAnsi="Verdana"/>
          <w:sz w:val="22"/>
          <w:szCs w:val="22"/>
          <w:lang w:val="nl-BE"/>
        </w:rPr>
        <w:t xml:space="preserve"> de Europese richtlijn om die discriminatie op grond van</w:t>
      </w:r>
      <w:r w:rsidR="009805C6">
        <w:rPr>
          <w:rFonts w:ascii="Verdana" w:hAnsi="Verdana"/>
          <w:sz w:val="22"/>
          <w:szCs w:val="22"/>
          <w:lang w:val="nl-BE"/>
        </w:rPr>
        <w:t xml:space="preserve"> </w:t>
      </w:r>
      <w:r w:rsidRPr="00655AA4">
        <w:rPr>
          <w:rFonts w:ascii="Verdana" w:hAnsi="Verdana"/>
          <w:sz w:val="22"/>
          <w:szCs w:val="22"/>
          <w:lang w:val="nl-BE"/>
        </w:rPr>
        <w:t>godsdienst of overtuiging, handicap, leeftijd of seksuele geaardheid verbiedt</w:t>
      </w:r>
      <w:r w:rsidR="009805C6">
        <w:rPr>
          <w:rFonts w:ascii="Verdana" w:hAnsi="Verdana"/>
          <w:sz w:val="22"/>
          <w:szCs w:val="22"/>
          <w:lang w:val="nl-BE"/>
        </w:rPr>
        <w:t xml:space="preserve"> </w:t>
      </w:r>
      <w:r w:rsidRPr="00655AA4">
        <w:rPr>
          <w:rStyle w:val="Appelnotedebasdep"/>
          <w:rFonts w:ascii="Verdana" w:eastAsiaTheme="majorEastAsia" w:hAnsi="Verdana" w:cs="Arial"/>
          <w:sz w:val="22"/>
          <w:szCs w:val="22"/>
          <w:shd w:val="clear" w:color="auto" w:fill="FFFFFF"/>
          <w:lang w:val="nl-BE"/>
        </w:rPr>
        <w:footnoteReference w:id="3"/>
      </w:r>
      <w:r w:rsidRPr="00655AA4">
        <w:rPr>
          <w:rFonts w:ascii="Verdana" w:hAnsi="Verdana" w:cs="Arial"/>
          <w:sz w:val="22"/>
          <w:szCs w:val="22"/>
          <w:shd w:val="clear" w:color="auto" w:fill="FFFFFF"/>
          <w:lang w:val="nl-BE"/>
        </w:rPr>
        <w:t>.</w:t>
      </w:r>
    </w:p>
    <w:p w:rsidR="00292174" w:rsidRPr="00655AA4" w:rsidRDefault="00292174" w:rsidP="00292174">
      <w:pPr>
        <w:numPr>
          <w:ilvl w:val="0"/>
          <w:numId w:val="8"/>
        </w:numPr>
        <w:spacing w:after="120"/>
        <w:ind w:left="426" w:hanging="567"/>
        <w:rPr>
          <w:rFonts w:ascii="Verdana" w:hAnsi="Verdana" w:cs="Arial"/>
          <w:sz w:val="22"/>
          <w:szCs w:val="22"/>
          <w:shd w:val="clear" w:color="auto" w:fill="FFFFFF"/>
          <w:lang w:val="nl-BE"/>
        </w:rPr>
      </w:pPr>
      <w:r>
        <w:rPr>
          <w:rFonts w:ascii="Verdana" w:hAnsi="Verdana" w:cs="Arial"/>
          <w:sz w:val="22"/>
          <w:szCs w:val="22"/>
          <w:shd w:val="clear" w:color="auto" w:fill="FFFFFF"/>
          <w:lang w:val="nl-BE"/>
        </w:rPr>
        <w:t xml:space="preserve">Personen die vinden dat ze het slachtoffer zijn van discriminatie, kunnen </w:t>
      </w:r>
      <w:r w:rsidRPr="00655AA4">
        <w:rPr>
          <w:rFonts w:ascii="Verdana" w:hAnsi="Verdana" w:cs="Arial"/>
          <w:sz w:val="22"/>
          <w:szCs w:val="22"/>
          <w:shd w:val="clear" w:color="auto" w:fill="FFFFFF"/>
          <w:lang w:val="nl-BE"/>
        </w:rPr>
        <w:t>ook een beroep doen op het Centrum voor gelijkheid van kansen en racismebestrijding (CGKR) om de nodige bijstand te krijgen bij het doen gelden</w:t>
      </w:r>
      <w:r>
        <w:rPr>
          <w:rFonts w:ascii="Verdana" w:hAnsi="Verdana" w:cs="Arial"/>
          <w:sz w:val="22"/>
          <w:szCs w:val="22"/>
          <w:shd w:val="clear" w:color="auto" w:fill="FFFFFF"/>
          <w:lang w:val="nl-BE"/>
        </w:rPr>
        <w:t xml:space="preserve"> van hun</w:t>
      </w:r>
      <w:r w:rsidRPr="00655AA4">
        <w:rPr>
          <w:rFonts w:ascii="Verdana" w:hAnsi="Verdana" w:cs="Arial"/>
          <w:sz w:val="22"/>
          <w:szCs w:val="22"/>
          <w:shd w:val="clear" w:color="auto" w:fill="FFFFFF"/>
          <w:lang w:val="nl-BE"/>
        </w:rPr>
        <w:t xml:space="preserve"> rechten</w:t>
      </w:r>
      <w:r w:rsidR="0010763A">
        <w:rPr>
          <w:rFonts w:ascii="Verdana" w:hAnsi="Verdana" w:cs="Arial"/>
          <w:sz w:val="22"/>
          <w:szCs w:val="22"/>
          <w:shd w:val="clear" w:color="auto" w:fill="FFFFFF"/>
          <w:lang w:val="nl-BE"/>
        </w:rPr>
        <w:t xml:space="preserve"> </w:t>
      </w:r>
      <w:r w:rsidRPr="00655AA4">
        <w:rPr>
          <w:rStyle w:val="Appelnotedebasdep"/>
          <w:rFonts w:ascii="Verdana" w:eastAsiaTheme="majorEastAsia" w:hAnsi="Verdana" w:cs="Arial"/>
          <w:sz w:val="22"/>
          <w:szCs w:val="22"/>
          <w:shd w:val="clear" w:color="auto" w:fill="FFFFFF"/>
          <w:lang w:val="nl-BE"/>
        </w:rPr>
        <w:footnoteReference w:id="4"/>
      </w:r>
      <w:r w:rsidRPr="00655AA4">
        <w:rPr>
          <w:rFonts w:ascii="Verdana" w:hAnsi="Verdana" w:cs="Arial"/>
          <w:sz w:val="22"/>
          <w:szCs w:val="22"/>
          <w:shd w:val="clear" w:color="auto" w:fill="FFFFFF"/>
          <w:lang w:val="nl-BE"/>
        </w:rPr>
        <w:t>.</w:t>
      </w:r>
    </w:p>
    <w:p w:rsidR="00292174" w:rsidRPr="00C056B5" w:rsidRDefault="00022E93" w:rsidP="00292174">
      <w:pPr>
        <w:numPr>
          <w:ilvl w:val="0"/>
          <w:numId w:val="8"/>
        </w:numPr>
        <w:spacing w:after="120"/>
        <w:ind w:left="426" w:hanging="567"/>
        <w:rPr>
          <w:rFonts w:ascii="Verdana" w:hAnsi="Verdana" w:cs="Arial"/>
          <w:sz w:val="22"/>
          <w:szCs w:val="22"/>
          <w:shd w:val="clear" w:color="auto" w:fill="FFFFFF"/>
          <w:lang w:val="nl-BE"/>
        </w:rPr>
      </w:pPr>
      <w:r w:rsidRPr="00C056B5">
        <w:rPr>
          <w:rFonts w:ascii="Verdana" w:hAnsi="Verdana" w:cs="Arial"/>
          <w:sz w:val="22"/>
          <w:szCs w:val="22"/>
          <w:shd w:val="clear" w:color="auto" w:fill="FFFFFF"/>
          <w:lang w:val="nl-BE"/>
        </w:rPr>
        <w:t>Tot slot voeren de regeringen diversiteitsplannen</w:t>
      </w:r>
      <w:r w:rsidRPr="00022E93">
        <w:rPr>
          <w:rFonts w:ascii="Verdana" w:hAnsi="Verdana" w:cs="Arial"/>
          <w:sz w:val="22"/>
          <w:szCs w:val="22"/>
          <w:shd w:val="clear" w:color="auto" w:fill="FFFFFF"/>
          <w:lang w:val="nl-BE"/>
        </w:rPr>
        <w:t xml:space="preserve"> uit, maar het is te vr</w:t>
      </w:r>
      <w:r>
        <w:rPr>
          <w:rFonts w:ascii="Verdana" w:hAnsi="Verdana" w:cs="Arial"/>
          <w:sz w:val="22"/>
          <w:szCs w:val="22"/>
          <w:shd w:val="clear" w:color="auto" w:fill="FFFFFF"/>
          <w:lang w:val="nl-BE"/>
        </w:rPr>
        <w:t>oe</w:t>
      </w:r>
      <w:r w:rsidRPr="00C056B5">
        <w:rPr>
          <w:rFonts w:ascii="Verdana" w:hAnsi="Verdana" w:cs="Arial"/>
          <w:sz w:val="22"/>
          <w:szCs w:val="22"/>
          <w:shd w:val="clear" w:color="auto" w:fill="FFFFFF"/>
          <w:lang w:val="nl-BE"/>
        </w:rPr>
        <w:t>g om de resultaten daarvan te evalueren.</w:t>
      </w:r>
      <w:r>
        <w:rPr>
          <w:rFonts w:ascii="Verdana" w:hAnsi="Verdana" w:cs="Arial"/>
          <w:sz w:val="22"/>
          <w:szCs w:val="22"/>
          <w:shd w:val="clear" w:color="auto" w:fill="FFFFFF"/>
          <w:lang w:val="nl-BE"/>
        </w:rPr>
        <w:t xml:space="preserve"> </w:t>
      </w:r>
      <w:r w:rsidRPr="00022E93">
        <w:rPr>
          <w:rFonts w:ascii="Verdana" w:hAnsi="Verdana" w:cs="Arial"/>
          <w:sz w:val="22"/>
          <w:szCs w:val="22"/>
          <w:shd w:val="clear" w:color="auto" w:fill="FFFFFF"/>
          <w:lang w:val="nl-BE"/>
        </w:rPr>
        <w:t xml:space="preserve">Er werden </w:t>
      </w:r>
      <w:proofErr w:type="spellStart"/>
      <w:r w:rsidRPr="00022E93">
        <w:rPr>
          <w:rFonts w:ascii="Verdana" w:hAnsi="Verdana" w:cs="Arial"/>
          <w:sz w:val="22"/>
          <w:szCs w:val="22"/>
          <w:shd w:val="clear" w:color="auto" w:fill="FFFFFF"/>
          <w:lang w:val="nl-BE"/>
        </w:rPr>
        <w:t>ROPH's</w:t>
      </w:r>
      <w:proofErr w:type="spellEnd"/>
      <w:r w:rsidRPr="00022E93">
        <w:rPr>
          <w:rFonts w:ascii="Verdana" w:hAnsi="Verdana" w:cs="Arial"/>
          <w:sz w:val="22"/>
          <w:szCs w:val="22"/>
          <w:shd w:val="clear" w:color="auto" w:fill="FFFFFF"/>
          <w:lang w:val="nl-BE"/>
        </w:rPr>
        <w:t xml:space="preserve"> en </w:t>
      </w:r>
      <w:proofErr w:type="spellStart"/>
      <w:r w:rsidRPr="00022E93">
        <w:rPr>
          <w:rFonts w:ascii="Verdana" w:hAnsi="Verdana" w:cs="Arial"/>
          <w:sz w:val="22"/>
          <w:szCs w:val="22"/>
          <w:shd w:val="clear" w:color="auto" w:fill="FFFFFF"/>
          <w:lang w:val="nl-BE"/>
        </w:rPr>
        <w:t>ARPH's</w:t>
      </w:r>
      <w:proofErr w:type="spellEnd"/>
      <w:r w:rsidRPr="00C056B5">
        <w:rPr>
          <w:rFonts w:ascii="Verdana" w:hAnsi="Verdana" w:cs="Arial"/>
          <w:sz w:val="22"/>
          <w:szCs w:val="22"/>
          <w:shd w:val="clear" w:color="auto" w:fill="FFFFFF"/>
          <w:lang w:val="nl-BE"/>
        </w:rPr>
        <w:t xml:space="preserve"> geraadpleegd, maar deze rapporteren dat de raadplegingen veel te kort waren</w:t>
      </w:r>
      <w:r w:rsidR="00B140BF" w:rsidRPr="00C056B5">
        <w:rPr>
          <w:rFonts w:ascii="Verdana" w:hAnsi="Verdana"/>
          <w:sz w:val="22"/>
          <w:szCs w:val="22"/>
          <w:u w:val="single"/>
          <w:lang w:val="nl-BE"/>
        </w:rPr>
        <w:t>.</w:t>
      </w:r>
    </w:p>
    <w:p w:rsidR="00292174" w:rsidRPr="00655AA4" w:rsidRDefault="00292174" w:rsidP="00292174">
      <w:pPr>
        <w:pStyle w:val="Titre3"/>
        <w:rPr>
          <w:lang w:val="nl-BE"/>
        </w:rPr>
      </w:pPr>
      <w:r w:rsidRPr="00655AA4">
        <w:rPr>
          <w:lang w:val="nl-BE"/>
        </w:rPr>
        <w:t>Het CGKR, het referentiecentrum</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Het CGKR is het referentiecentrum geworden voor personen </w:t>
      </w:r>
      <w:r w:rsidR="00924EB5">
        <w:rPr>
          <w:rFonts w:ascii="Verdana" w:hAnsi="Verdana"/>
          <w:sz w:val="22"/>
          <w:szCs w:val="22"/>
          <w:lang w:val="nl-BE"/>
        </w:rPr>
        <w:t xml:space="preserve">die </w:t>
      </w:r>
      <w:r w:rsidRPr="00655AA4">
        <w:rPr>
          <w:rFonts w:ascii="Verdana" w:hAnsi="Verdana"/>
          <w:sz w:val="22"/>
          <w:szCs w:val="22"/>
          <w:lang w:val="nl-BE"/>
        </w:rPr>
        <w:t xml:space="preserve">het slachtoffer zijn of </w:t>
      </w:r>
      <w:r>
        <w:rPr>
          <w:rFonts w:ascii="Verdana" w:hAnsi="Verdana"/>
          <w:sz w:val="22"/>
          <w:szCs w:val="22"/>
          <w:lang w:val="nl-BE"/>
        </w:rPr>
        <w:t xml:space="preserve">zich </w:t>
      </w:r>
      <w:r w:rsidRPr="00655AA4">
        <w:rPr>
          <w:rFonts w:ascii="Verdana" w:hAnsi="Verdana"/>
          <w:sz w:val="22"/>
          <w:szCs w:val="22"/>
          <w:lang w:val="nl-BE"/>
        </w:rPr>
        <w:t xml:space="preserve">het slachtoffer voelen van discriminatie op basis  van hun handicap. </w:t>
      </w:r>
    </w:p>
    <w:p w:rsidR="007261CB" w:rsidRPr="00C056B5"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lastRenderedPageBreak/>
        <w:t xml:space="preserve">Het CGKR werkt al sinds lange tijd samen met de </w:t>
      </w:r>
      <w:proofErr w:type="spellStart"/>
      <w:r w:rsidRPr="00655AA4">
        <w:rPr>
          <w:rFonts w:ascii="Verdana" w:hAnsi="Verdana"/>
          <w:sz w:val="22"/>
          <w:szCs w:val="22"/>
          <w:lang w:val="nl-BE"/>
        </w:rPr>
        <w:t>ROPH's</w:t>
      </w:r>
      <w:proofErr w:type="spellEnd"/>
      <w:r w:rsidRPr="00655AA4">
        <w:rPr>
          <w:rFonts w:ascii="Verdana" w:hAnsi="Verdana"/>
          <w:sz w:val="22"/>
          <w:szCs w:val="22"/>
          <w:lang w:val="nl-BE"/>
        </w:rPr>
        <w:t xml:space="preserve"> en heeft die samenwerking geformaliseerd door met veel </w:t>
      </w:r>
      <w:proofErr w:type="spellStart"/>
      <w:r w:rsidRPr="00655AA4">
        <w:rPr>
          <w:rFonts w:ascii="Verdana" w:hAnsi="Verdana"/>
          <w:sz w:val="22"/>
          <w:szCs w:val="22"/>
          <w:lang w:val="nl-BE"/>
        </w:rPr>
        <w:t>ROPH's</w:t>
      </w:r>
      <w:proofErr w:type="spellEnd"/>
      <w:r w:rsidRPr="00655AA4">
        <w:rPr>
          <w:rFonts w:ascii="Verdana" w:hAnsi="Verdana"/>
          <w:sz w:val="22"/>
          <w:szCs w:val="22"/>
          <w:lang w:val="nl-BE"/>
        </w:rPr>
        <w:t xml:space="preserve"> samenwerkingsakkoorden af te sluiten</w:t>
      </w:r>
      <w:r w:rsidR="005E160B">
        <w:rPr>
          <w:rFonts w:ascii="Verdana" w:hAnsi="Verdana"/>
          <w:sz w:val="22"/>
          <w:szCs w:val="22"/>
          <w:lang w:val="nl-BE"/>
        </w:rPr>
        <w:t xml:space="preserve"> </w:t>
      </w:r>
      <w:r w:rsidR="005E160B">
        <w:rPr>
          <w:rStyle w:val="Appelnotedebasdep"/>
          <w:rFonts w:ascii="Verdana" w:hAnsi="Verdana"/>
          <w:sz w:val="22"/>
          <w:szCs w:val="22"/>
          <w:lang w:val="nl-BE"/>
        </w:rPr>
        <w:footnoteReference w:id="5"/>
      </w:r>
      <w:r w:rsidRPr="00655AA4">
        <w:rPr>
          <w:rFonts w:ascii="Verdana" w:hAnsi="Verdana"/>
          <w:sz w:val="22"/>
          <w:szCs w:val="22"/>
          <w:lang w:val="nl-BE"/>
        </w:rPr>
        <w:t>. Het is dan ook bela</w:t>
      </w:r>
      <w:r>
        <w:rPr>
          <w:rFonts w:ascii="Verdana" w:hAnsi="Verdana"/>
          <w:sz w:val="22"/>
          <w:szCs w:val="22"/>
          <w:lang w:val="nl-BE"/>
        </w:rPr>
        <w:t>ngrijk om</w:t>
      </w:r>
      <w:r w:rsidRPr="00655AA4">
        <w:rPr>
          <w:rFonts w:ascii="Verdana" w:hAnsi="Verdana"/>
          <w:sz w:val="22"/>
          <w:szCs w:val="22"/>
          <w:lang w:val="nl-BE"/>
        </w:rPr>
        <w:t xml:space="preserve"> het werk van het CGKR</w:t>
      </w:r>
      <w:r>
        <w:rPr>
          <w:rFonts w:ascii="Verdana" w:hAnsi="Verdana"/>
          <w:sz w:val="22"/>
          <w:szCs w:val="22"/>
          <w:lang w:val="nl-BE"/>
        </w:rPr>
        <w:t xml:space="preserve"> hier aan bod te laten komen</w:t>
      </w:r>
      <w:r w:rsidRPr="00655AA4">
        <w:rPr>
          <w:rFonts w:ascii="Verdana" w:hAnsi="Verdana"/>
          <w:sz w:val="22"/>
          <w:szCs w:val="22"/>
          <w:lang w:val="nl-BE"/>
        </w:rPr>
        <w:t xml:space="preserve">. </w:t>
      </w:r>
      <w:r w:rsidR="0074055C" w:rsidRPr="00C056B5">
        <w:rPr>
          <w:rFonts w:ascii="Verdana" w:hAnsi="Verdana"/>
          <w:sz w:val="22"/>
          <w:szCs w:val="22"/>
          <w:lang w:val="nl-BE"/>
        </w:rPr>
        <w:t>Deze samenwerkingsakkoorden zijn belangrijk want de werking van het CGKR is niet bekend bij het grote publiek</w:t>
      </w:r>
      <w:r w:rsidR="006B7D7F" w:rsidRPr="00C056B5">
        <w:rPr>
          <w:rFonts w:ascii="Verdana" w:hAnsi="Verdana"/>
          <w:sz w:val="22"/>
          <w:szCs w:val="22"/>
          <w:lang w:val="nl-BE"/>
        </w:rPr>
        <w:t xml:space="preserve">. </w:t>
      </w:r>
    </w:p>
    <w:p w:rsidR="00292174" w:rsidRPr="00C056B5" w:rsidRDefault="0074055C" w:rsidP="00292174">
      <w:pPr>
        <w:numPr>
          <w:ilvl w:val="0"/>
          <w:numId w:val="8"/>
        </w:numPr>
        <w:spacing w:after="120"/>
        <w:ind w:left="426" w:hanging="567"/>
        <w:rPr>
          <w:rFonts w:ascii="Verdana" w:hAnsi="Verdana"/>
          <w:sz w:val="22"/>
          <w:szCs w:val="22"/>
          <w:lang w:val="nl-BE"/>
        </w:rPr>
      </w:pPr>
      <w:r w:rsidRPr="00C056B5">
        <w:rPr>
          <w:rFonts w:ascii="Verdana" w:hAnsi="Verdana"/>
          <w:sz w:val="22"/>
          <w:szCs w:val="22"/>
          <w:lang w:val="nl-BE"/>
        </w:rPr>
        <w:t xml:space="preserve">Personen met een handicap twijfelen </w:t>
      </w:r>
      <w:r w:rsidR="0054613A" w:rsidRPr="00884C68">
        <w:rPr>
          <w:rFonts w:ascii="Verdana" w:hAnsi="Verdana"/>
          <w:sz w:val="22"/>
          <w:szCs w:val="22"/>
          <w:lang w:val="nl-BE"/>
        </w:rPr>
        <w:t>om zich te richten tot het CGKR</w:t>
      </w:r>
      <w:r w:rsidR="0054613A">
        <w:rPr>
          <w:rFonts w:ascii="Verdana" w:hAnsi="Verdana"/>
          <w:sz w:val="22"/>
          <w:szCs w:val="22"/>
          <w:lang w:val="nl-BE"/>
        </w:rPr>
        <w:t xml:space="preserve"> </w:t>
      </w:r>
      <w:r w:rsidRPr="00C056B5">
        <w:rPr>
          <w:rFonts w:ascii="Verdana" w:hAnsi="Verdana"/>
          <w:sz w:val="22"/>
          <w:szCs w:val="22"/>
          <w:lang w:val="nl-BE"/>
        </w:rPr>
        <w:t xml:space="preserve">of denken er niet aan </w:t>
      </w:r>
      <w:r>
        <w:rPr>
          <w:rFonts w:ascii="Verdana" w:hAnsi="Verdana"/>
          <w:sz w:val="22"/>
          <w:szCs w:val="22"/>
          <w:lang w:val="nl-BE"/>
        </w:rPr>
        <w:t xml:space="preserve">. De </w:t>
      </w:r>
      <w:proofErr w:type="spellStart"/>
      <w:r>
        <w:rPr>
          <w:rFonts w:ascii="Verdana" w:hAnsi="Verdana"/>
          <w:sz w:val="22"/>
          <w:szCs w:val="22"/>
          <w:lang w:val="nl-BE"/>
        </w:rPr>
        <w:t>ROPH's</w:t>
      </w:r>
      <w:proofErr w:type="spellEnd"/>
      <w:r>
        <w:rPr>
          <w:rFonts w:ascii="Verdana" w:hAnsi="Verdana"/>
          <w:sz w:val="22"/>
          <w:szCs w:val="22"/>
          <w:lang w:val="nl-BE"/>
        </w:rPr>
        <w:t xml:space="preserve"> kunnen dan ook nuttig werk leveren als doorgeefluik naar het CGKR toe</w:t>
      </w:r>
      <w:r w:rsidR="006B7D7F" w:rsidRPr="00C056B5">
        <w:rPr>
          <w:rFonts w:ascii="Verdana" w:hAnsi="Verdana"/>
          <w:sz w:val="22"/>
          <w:szCs w:val="22"/>
          <w:lang w:val="nl-BE"/>
        </w:rPr>
        <w:t xml:space="preserve">. </w:t>
      </w:r>
      <w:r>
        <w:rPr>
          <w:rFonts w:ascii="Verdana" w:hAnsi="Verdana"/>
          <w:sz w:val="22"/>
          <w:szCs w:val="22"/>
          <w:lang w:val="nl-BE"/>
        </w:rPr>
        <w:t xml:space="preserve">Het is ook nuttig op te merken dat de hoofdactiviteit van het CGKR gebaseerd is op meldingen van </w:t>
      </w:r>
      <w:r w:rsidR="006E01F8">
        <w:rPr>
          <w:rFonts w:ascii="Verdana" w:hAnsi="Verdana"/>
          <w:sz w:val="22"/>
          <w:szCs w:val="22"/>
          <w:lang w:val="nl-BE"/>
        </w:rPr>
        <w:t>individuen</w:t>
      </w:r>
      <w:r w:rsidRPr="00C056B5">
        <w:rPr>
          <w:rFonts w:ascii="Verdana" w:hAnsi="Verdana"/>
          <w:sz w:val="22"/>
          <w:szCs w:val="22"/>
          <w:lang w:val="nl-BE"/>
        </w:rPr>
        <w:t xml:space="preserve">. </w:t>
      </w:r>
      <w:r>
        <w:rPr>
          <w:rFonts w:ascii="Verdana" w:hAnsi="Verdana"/>
          <w:sz w:val="22"/>
          <w:szCs w:val="22"/>
          <w:lang w:val="nl-BE"/>
        </w:rPr>
        <w:t>De hierna vermelde cijfers moeten dan ook worden beschouwd als "a minima".</w:t>
      </w:r>
      <w:r w:rsidR="006B7D7F" w:rsidRPr="00C056B5">
        <w:rPr>
          <w:rFonts w:ascii="Verdana" w:hAnsi="Verdana"/>
          <w:sz w:val="22"/>
          <w:szCs w:val="22"/>
          <w:lang w:val="nl-BE"/>
        </w:rPr>
        <w:t>.</w:t>
      </w:r>
    </w:p>
    <w:p w:rsidR="00292174" w:rsidRPr="00655AA4" w:rsidRDefault="00292174" w:rsidP="00EB049D">
      <w:pPr>
        <w:pStyle w:val="Titre4"/>
        <w:rPr>
          <w:lang w:val="nl-BE"/>
        </w:rPr>
      </w:pPr>
      <w:r w:rsidRPr="00655AA4">
        <w:rPr>
          <w:lang w:val="nl-BE"/>
        </w:rPr>
        <w:t>Kwantitatieve gegevens</w:t>
      </w:r>
    </w:p>
    <w:p w:rsidR="00292174" w:rsidRPr="00CF3AFB"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Het verslag </w:t>
      </w:r>
      <w:r w:rsidR="00077E82">
        <w:rPr>
          <w:rFonts w:ascii="Verdana" w:hAnsi="Verdana"/>
          <w:sz w:val="22"/>
          <w:szCs w:val="22"/>
          <w:lang w:val="nl-BE"/>
        </w:rPr>
        <w:t>‘</w:t>
      </w:r>
      <w:r w:rsidR="00077E82">
        <w:rPr>
          <w:rFonts w:ascii="Verdana" w:hAnsi="Verdana"/>
          <w:i/>
          <w:sz w:val="22"/>
          <w:szCs w:val="22"/>
          <w:lang w:val="nl-BE"/>
        </w:rPr>
        <w:t>Discriminatie/Diversiteit 2012’</w:t>
      </w:r>
      <w:r w:rsidR="0074055C">
        <w:rPr>
          <w:rFonts w:ascii="Verdana" w:hAnsi="Verdana"/>
          <w:sz w:val="22"/>
          <w:szCs w:val="22"/>
          <w:lang w:val="nl-BE"/>
        </w:rPr>
        <w:t xml:space="preserve"> </w:t>
      </w:r>
      <w:r w:rsidR="00DF29C3">
        <w:rPr>
          <w:rStyle w:val="Appelnotedebasdep"/>
          <w:rFonts w:ascii="Verdana" w:hAnsi="Verdana"/>
          <w:sz w:val="22"/>
          <w:szCs w:val="22"/>
          <w:lang w:val="nl-BE"/>
        </w:rPr>
        <w:footnoteReference w:id="6"/>
      </w:r>
      <w:r w:rsidRPr="00655AA4">
        <w:rPr>
          <w:rFonts w:ascii="Verdana" w:hAnsi="Verdana"/>
          <w:sz w:val="22"/>
          <w:szCs w:val="22"/>
          <w:lang w:val="nl-BE"/>
        </w:rPr>
        <w:t xml:space="preserve"> van het CGKR bevat een statistisch hoofdstuk met nuttige gegevens om de omvang van de problematiek beter te kunnen vatten</w:t>
      </w:r>
      <w:r w:rsidR="00DA1682">
        <w:rPr>
          <w:rFonts w:ascii="Verdana" w:hAnsi="Verdana"/>
          <w:sz w:val="22"/>
          <w:szCs w:val="22"/>
          <w:lang w:val="nl-BE"/>
        </w:rPr>
        <w:t xml:space="preserve"> </w:t>
      </w:r>
      <w:r w:rsidRPr="00655AA4">
        <w:rPr>
          <w:rStyle w:val="Appelnotedebasdep"/>
          <w:rFonts w:ascii="Verdana" w:eastAsiaTheme="majorEastAsia" w:hAnsi="Verdana"/>
          <w:sz w:val="22"/>
          <w:szCs w:val="22"/>
          <w:lang w:val="nl-BE"/>
        </w:rPr>
        <w:footnoteReference w:id="7"/>
      </w:r>
      <w:r w:rsidRPr="00655AA4">
        <w:rPr>
          <w:rFonts w:ascii="Verdana" w:hAnsi="Verdana"/>
          <w:sz w:val="22"/>
          <w:szCs w:val="22"/>
          <w:lang w:val="nl-BE"/>
        </w:rPr>
        <w:t xml:space="preserve">.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We halen er de volgende elementen uit:</w:t>
      </w:r>
    </w:p>
    <w:p w:rsidR="00292174" w:rsidRPr="003D76D3" w:rsidRDefault="00292174" w:rsidP="00292174">
      <w:pPr>
        <w:numPr>
          <w:ilvl w:val="0"/>
          <w:numId w:val="7"/>
        </w:numPr>
        <w:spacing w:after="60"/>
        <w:ind w:left="426"/>
        <w:rPr>
          <w:rFonts w:ascii="Verdana" w:hAnsi="Verdana"/>
          <w:sz w:val="22"/>
          <w:szCs w:val="22"/>
          <w:lang w:val="nl-BE"/>
        </w:rPr>
      </w:pPr>
      <w:r w:rsidRPr="003D76D3">
        <w:rPr>
          <w:rFonts w:ascii="Verdana" w:hAnsi="Verdana"/>
          <w:sz w:val="22"/>
          <w:szCs w:val="22"/>
          <w:lang w:val="nl-BE"/>
        </w:rPr>
        <w:t xml:space="preserve">Het CGKR ontving </w:t>
      </w:r>
      <w:r w:rsidR="00CE0470">
        <w:rPr>
          <w:rFonts w:ascii="Verdana" w:hAnsi="Verdana"/>
          <w:sz w:val="22"/>
          <w:szCs w:val="22"/>
          <w:lang w:val="nl-BE"/>
        </w:rPr>
        <w:t>4.226</w:t>
      </w:r>
      <w:r w:rsidR="003D76D3" w:rsidRPr="003D76D3">
        <w:rPr>
          <w:rFonts w:ascii="Verdana" w:hAnsi="Verdana"/>
          <w:sz w:val="22"/>
          <w:szCs w:val="22"/>
          <w:lang w:val="nl-BE"/>
        </w:rPr>
        <w:t xml:space="preserve"> </w:t>
      </w:r>
      <w:r w:rsidRPr="003D76D3">
        <w:rPr>
          <w:rFonts w:ascii="Verdana" w:hAnsi="Verdana"/>
          <w:sz w:val="22"/>
          <w:szCs w:val="22"/>
          <w:lang w:val="nl-BE"/>
        </w:rPr>
        <w:t>meldingen</w:t>
      </w:r>
      <w:r w:rsidR="00CE0470" w:rsidRPr="00CE0470">
        <w:rPr>
          <w:rFonts w:ascii="Verdana" w:hAnsi="Verdana"/>
          <w:sz w:val="22"/>
          <w:szCs w:val="22"/>
          <w:lang w:val="nl-BE"/>
        </w:rPr>
        <w:t xml:space="preserve"> </w:t>
      </w:r>
      <w:r w:rsidR="00CE0470" w:rsidRPr="003D76D3">
        <w:rPr>
          <w:rFonts w:ascii="Verdana" w:hAnsi="Verdana"/>
          <w:sz w:val="22"/>
          <w:szCs w:val="22"/>
          <w:lang w:val="nl-BE"/>
        </w:rPr>
        <w:t>van openlijke discriminatie</w:t>
      </w:r>
      <w:r w:rsidR="00CE0470">
        <w:rPr>
          <w:rFonts w:ascii="Verdana" w:hAnsi="Verdana"/>
          <w:sz w:val="22"/>
          <w:szCs w:val="22"/>
          <w:lang w:val="nl-BE"/>
        </w:rPr>
        <w:t xml:space="preserve"> en </w:t>
      </w:r>
      <w:r w:rsidR="00CE0470" w:rsidRPr="003D76D3">
        <w:rPr>
          <w:rFonts w:ascii="Verdana" w:hAnsi="Verdana"/>
          <w:sz w:val="22"/>
          <w:szCs w:val="22"/>
          <w:lang w:val="nl-BE"/>
        </w:rPr>
        <w:t>verklaarde zich</w:t>
      </w:r>
      <w:r w:rsidR="00CE0470">
        <w:rPr>
          <w:rFonts w:ascii="Verdana" w:hAnsi="Verdana"/>
          <w:sz w:val="22"/>
          <w:szCs w:val="22"/>
          <w:lang w:val="nl-BE"/>
        </w:rPr>
        <w:t xml:space="preserve"> </w:t>
      </w:r>
      <w:r w:rsidR="00CE0470" w:rsidRPr="003D76D3">
        <w:rPr>
          <w:rFonts w:ascii="Verdana" w:hAnsi="Verdana"/>
          <w:sz w:val="22"/>
          <w:szCs w:val="22"/>
          <w:lang w:val="nl-BE"/>
        </w:rPr>
        <w:t>bevoegd voor 1.</w:t>
      </w:r>
      <w:r w:rsidR="00367AE2">
        <w:rPr>
          <w:rFonts w:ascii="Verdana" w:hAnsi="Verdana"/>
          <w:sz w:val="22"/>
          <w:szCs w:val="22"/>
          <w:lang w:val="nl-BE"/>
        </w:rPr>
        <w:t>315</w:t>
      </w:r>
      <w:r w:rsidR="00367AE2" w:rsidRPr="003D76D3">
        <w:rPr>
          <w:rFonts w:ascii="Verdana" w:hAnsi="Verdana"/>
          <w:sz w:val="22"/>
          <w:szCs w:val="22"/>
          <w:lang w:val="nl-BE"/>
        </w:rPr>
        <w:t xml:space="preserve"> </w:t>
      </w:r>
      <w:r w:rsidR="00367AE2" w:rsidRPr="00367AE2">
        <w:rPr>
          <w:rFonts w:ascii="Verdana" w:hAnsi="Verdana"/>
          <w:sz w:val="22"/>
          <w:szCs w:val="22"/>
          <w:lang w:val="nl-BE"/>
        </w:rPr>
        <w:t>d</w:t>
      </w:r>
      <w:r w:rsidR="0074055C">
        <w:rPr>
          <w:rFonts w:ascii="Verdana" w:hAnsi="Verdana"/>
          <w:sz w:val="22"/>
          <w:szCs w:val="22"/>
          <w:lang w:val="nl-BE"/>
        </w:rPr>
        <w:t xml:space="preserve">aarvan. Dat betekent een </w:t>
      </w:r>
      <w:r w:rsidRPr="003D76D3">
        <w:rPr>
          <w:rFonts w:ascii="Verdana" w:hAnsi="Verdana"/>
          <w:sz w:val="22"/>
          <w:szCs w:val="22"/>
          <w:lang w:val="nl-BE"/>
        </w:rPr>
        <w:t xml:space="preserve">stijging met </w:t>
      </w:r>
      <w:r w:rsidR="00CE0470">
        <w:rPr>
          <w:rFonts w:ascii="Verdana" w:hAnsi="Verdana"/>
          <w:sz w:val="22"/>
          <w:szCs w:val="22"/>
          <w:lang w:val="nl-BE"/>
        </w:rPr>
        <w:t>3</w:t>
      </w:r>
      <w:r w:rsidRPr="003D76D3">
        <w:rPr>
          <w:rFonts w:ascii="Verdana" w:hAnsi="Verdana"/>
          <w:sz w:val="22"/>
          <w:szCs w:val="22"/>
          <w:lang w:val="nl-BE"/>
        </w:rPr>
        <w:t>% ten opzicht</w:t>
      </w:r>
      <w:r w:rsidR="00924EB5" w:rsidRPr="003D76D3">
        <w:rPr>
          <w:rFonts w:ascii="Verdana" w:hAnsi="Verdana"/>
          <w:sz w:val="22"/>
          <w:szCs w:val="22"/>
          <w:lang w:val="nl-BE"/>
        </w:rPr>
        <w:t>e</w:t>
      </w:r>
      <w:r w:rsidRPr="003D76D3">
        <w:rPr>
          <w:rFonts w:ascii="Verdana" w:hAnsi="Verdana"/>
          <w:sz w:val="22"/>
          <w:szCs w:val="22"/>
          <w:lang w:val="nl-BE"/>
        </w:rPr>
        <w:t xml:space="preserve"> van 201</w:t>
      </w:r>
      <w:r w:rsidR="00CE0470">
        <w:rPr>
          <w:rFonts w:ascii="Verdana" w:hAnsi="Verdana"/>
          <w:sz w:val="22"/>
          <w:szCs w:val="22"/>
          <w:lang w:val="nl-BE"/>
        </w:rPr>
        <w:t>1</w:t>
      </w:r>
      <w:r w:rsidRPr="003D76D3">
        <w:rPr>
          <w:rFonts w:ascii="Verdana" w:hAnsi="Verdana"/>
          <w:sz w:val="22"/>
          <w:szCs w:val="22"/>
          <w:lang w:val="nl-BE"/>
        </w:rPr>
        <w:t>.</w:t>
      </w:r>
    </w:p>
    <w:p w:rsidR="000157D8" w:rsidRPr="00C056B5" w:rsidRDefault="00F70806" w:rsidP="000157D8">
      <w:pPr>
        <w:numPr>
          <w:ilvl w:val="0"/>
          <w:numId w:val="7"/>
        </w:numPr>
        <w:spacing w:after="60"/>
        <w:rPr>
          <w:rFonts w:ascii="Verdana" w:hAnsi="Verdana"/>
          <w:sz w:val="22"/>
          <w:szCs w:val="22"/>
          <w:lang w:val="nl-BE"/>
        </w:rPr>
      </w:pPr>
      <w:r w:rsidRPr="00C056B5">
        <w:rPr>
          <w:rFonts w:ascii="Verdana" w:hAnsi="Verdana"/>
          <w:sz w:val="22"/>
          <w:szCs w:val="22"/>
          <w:lang w:val="nl-BE"/>
        </w:rPr>
        <w:t>Handicap is de derde oorzaak van discriminatie, met 261 nieuwe dossiers, verdeeld als volgt</w:t>
      </w:r>
      <w:r w:rsidR="000157D8" w:rsidRPr="00C056B5">
        <w:rPr>
          <w:rFonts w:ascii="Verdana" w:hAnsi="Verdana"/>
          <w:sz w:val="22"/>
          <w:szCs w:val="22"/>
          <w:lang w:val="nl-BE"/>
        </w:rPr>
        <w:t>:</w:t>
      </w:r>
    </w:p>
    <w:p w:rsidR="000157D8" w:rsidRPr="000157D8" w:rsidRDefault="000157D8" w:rsidP="000157D8">
      <w:pPr>
        <w:numPr>
          <w:ilvl w:val="1"/>
          <w:numId w:val="7"/>
        </w:numPr>
        <w:spacing w:after="60"/>
        <w:rPr>
          <w:rFonts w:ascii="Verdana" w:hAnsi="Verdana"/>
          <w:sz w:val="22"/>
          <w:szCs w:val="22"/>
          <w:lang w:val="fr-BE"/>
        </w:rPr>
      </w:pPr>
      <w:proofErr w:type="spellStart"/>
      <w:r>
        <w:rPr>
          <w:rFonts w:ascii="Verdana" w:hAnsi="Verdana"/>
          <w:sz w:val="22"/>
          <w:szCs w:val="22"/>
          <w:lang w:val="fr-BE"/>
        </w:rPr>
        <w:t>Goederen</w:t>
      </w:r>
      <w:proofErr w:type="spellEnd"/>
      <w:r>
        <w:rPr>
          <w:rFonts w:ascii="Verdana" w:hAnsi="Verdana"/>
          <w:sz w:val="22"/>
          <w:szCs w:val="22"/>
          <w:lang w:val="fr-BE"/>
        </w:rPr>
        <w:t xml:space="preserve"> en </w:t>
      </w:r>
      <w:proofErr w:type="spellStart"/>
      <w:r>
        <w:rPr>
          <w:rFonts w:ascii="Verdana" w:hAnsi="Verdana"/>
          <w:sz w:val="22"/>
          <w:szCs w:val="22"/>
          <w:lang w:val="fr-BE"/>
        </w:rPr>
        <w:t>diensten</w:t>
      </w:r>
      <w:proofErr w:type="spellEnd"/>
      <w:r w:rsidRPr="000157D8">
        <w:rPr>
          <w:rFonts w:ascii="Verdana" w:hAnsi="Verdana"/>
          <w:sz w:val="22"/>
          <w:szCs w:val="22"/>
          <w:lang w:val="fr-BE"/>
        </w:rPr>
        <w:t>: 126</w:t>
      </w:r>
    </w:p>
    <w:p w:rsidR="000157D8" w:rsidRPr="000157D8" w:rsidRDefault="000157D8" w:rsidP="000157D8">
      <w:pPr>
        <w:numPr>
          <w:ilvl w:val="1"/>
          <w:numId w:val="7"/>
        </w:numPr>
        <w:spacing w:after="60"/>
        <w:rPr>
          <w:rFonts w:ascii="Verdana" w:hAnsi="Verdana"/>
          <w:sz w:val="22"/>
          <w:szCs w:val="22"/>
          <w:lang w:val="fr-BE"/>
        </w:rPr>
      </w:pPr>
      <w:proofErr w:type="spellStart"/>
      <w:r>
        <w:rPr>
          <w:rFonts w:ascii="Verdana" w:hAnsi="Verdana"/>
          <w:sz w:val="22"/>
          <w:szCs w:val="22"/>
          <w:lang w:val="fr-BE"/>
        </w:rPr>
        <w:t>Werk</w:t>
      </w:r>
      <w:proofErr w:type="spellEnd"/>
      <w:r w:rsidRPr="000157D8">
        <w:rPr>
          <w:rFonts w:ascii="Verdana" w:hAnsi="Verdana"/>
          <w:sz w:val="22"/>
          <w:szCs w:val="22"/>
          <w:lang w:val="fr-BE"/>
        </w:rPr>
        <w:t>: 47</w:t>
      </w:r>
    </w:p>
    <w:p w:rsidR="000157D8" w:rsidRPr="000157D8" w:rsidRDefault="000157D8" w:rsidP="000157D8">
      <w:pPr>
        <w:numPr>
          <w:ilvl w:val="1"/>
          <w:numId w:val="7"/>
        </w:numPr>
        <w:spacing w:after="60"/>
        <w:rPr>
          <w:rFonts w:ascii="Verdana" w:hAnsi="Verdana"/>
          <w:sz w:val="22"/>
          <w:szCs w:val="22"/>
          <w:lang w:val="fr-BE"/>
        </w:rPr>
      </w:pPr>
      <w:proofErr w:type="spellStart"/>
      <w:r>
        <w:rPr>
          <w:rFonts w:ascii="Verdana" w:hAnsi="Verdana"/>
          <w:sz w:val="22"/>
          <w:szCs w:val="22"/>
          <w:lang w:val="fr-BE"/>
        </w:rPr>
        <w:t>Onderwijs</w:t>
      </w:r>
      <w:proofErr w:type="spellEnd"/>
      <w:r w:rsidRPr="000157D8">
        <w:rPr>
          <w:rFonts w:ascii="Verdana" w:hAnsi="Verdana"/>
          <w:sz w:val="22"/>
          <w:szCs w:val="22"/>
          <w:lang w:val="fr-BE"/>
        </w:rPr>
        <w:t>: 30</w:t>
      </w:r>
    </w:p>
    <w:p w:rsidR="000157D8" w:rsidRPr="000157D8" w:rsidRDefault="000157D8" w:rsidP="000157D8">
      <w:pPr>
        <w:numPr>
          <w:ilvl w:val="1"/>
          <w:numId w:val="7"/>
        </w:numPr>
        <w:spacing w:after="60"/>
        <w:rPr>
          <w:rFonts w:ascii="Verdana" w:hAnsi="Verdana"/>
          <w:sz w:val="22"/>
          <w:szCs w:val="22"/>
          <w:lang w:val="fr-BE"/>
        </w:rPr>
      </w:pPr>
      <w:proofErr w:type="spellStart"/>
      <w:r>
        <w:rPr>
          <w:rFonts w:ascii="Verdana" w:hAnsi="Verdana"/>
          <w:sz w:val="22"/>
          <w:szCs w:val="22"/>
          <w:lang w:val="fr-BE"/>
        </w:rPr>
        <w:t>Samenleving</w:t>
      </w:r>
      <w:proofErr w:type="spellEnd"/>
      <w:r w:rsidRPr="000157D8">
        <w:rPr>
          <w:rFonts w:ascii="Verdana" w:hAnsi="Verdana"/>
          <w:sz w:val="22"/>
          <w:szCs w:val="22"/>
          <w:lang w:val="fr-BE"/>
        </w:rPr>
        <w:t>: 14</w:t>
      </w:r>
    </w:p>
    <w:p w:rsidR="000157D8" w:rsidRPr="000157D8" w:rsidRDefault="000157D8" w:rsidP="000157D8">
      <w:pPr>
        <w:numPr>
          <w:ilvl w:val="1"/>
          <w:numId w:val="7"/>
        </w:numPr>
        <w:spacing w:after="60"/>
        <w:rPr>
          <w:rFonts w:ascii="Verdana" w:hAnsi="Verdana"/>
          <w:sz w:val="22"/>
          <w:szCs w:val="22"/>
          <w:lang w:val="fr-BE"/>
        </w:rPr>
      </w:pPr>
      <w:proofErr w:type="spellStart"/>
      <w:r w:rsidRPr="000157D8">
        <w:rPr>
          <w:rFonts w:ascii="Verdana" w:hAnsi="Verdana"/>
          <w:sz w:val="22"/>
          <w:szCs w:val="22"/>
          <w:lang w:val="fr-BE"/>
        </w:rPr>
        <w:t>Poli</w:t>
      </w:r>
      <w:r>
        <w:rPr>
          <w:rFonts w:ascii="Verdana" w:hAnsi="Verdana"/>
          <w:sz w:val="22"/>
          <w:szCs w:val="22"/>
          <w:lang w:val="fr-BE"/>
        </w:rPr>
        <w:t>ti</w:t>
      </w:r>
      <w:r w:rsidRPr="000157D8">
        <w:rPr>
          <w:rFonts w:ascii="Verdana" w:hAnsi="Verdana"/>
          <w:sz w:val="22"/>
          <w:szCs w:val="22"/>
          <w:lang w:val="fr-BE"/>
        </w:rPr>
        <w:t>e</w:t>
      </w:r>
      <w:proofErr w:type="spellEnd"/>
      <w:r w:rsidRPr="000157D8">
        <w:rPr>
          <w:rFonts w:ascii="Verdana" w:hAnsi="Verdana"/>
          <w:sz w:val="22"/>
          <w:szCs w:val="22"/>
          <w:lang w:val="fr-BE"/>
        </w:rPr>
        <w:t xml:space="preserve"> e</w:t>
      </w:r>
      <w:r w:rsidR="00F70806">
        <w:rPr>
          <w:rFonts w:ascii="Verdana" w:hAnsi="Verdana"/>
          <w:sz w:val="22"/>
          <w:szCs w:val="22"/>
          <w:lang w:val="fr-BE"/>
        </w:rPr>
        <w:t>n</w:t>
      </w:r>
      <w:r w:rsidRPr="000157D8">
        <w:rPr>
          <w:rFonts w:ascii="Verdana" w:hAnsi="Verdana"/>
          <w:sz w:val="22"/>
          <w:szCs w:val="22"/>
          <w:lang w:val="fr-BE"/>
        </w:rPr>
        <w:t xml:space="preserve"> </w:t>
      </w:r>
      <w:proofErr w:type="spellStart"/>
      <w:r w:rsidRPr="000157D8">
        <w:rPr>
          <w:rFonts w:ascii="Verdana" w:hAnsi="Verdana"/>
          <w:sz w:val="22"/>
          <w:szCs w:val="22"/>
          <w:lang w:val="fr-BE"/>
        </w:rPr>
        <w:t>justi</w:t>
      </w:r>
      <w:r>
        <w:rPr>
          <w:rFonts w:ascii="Verdana" w:hAnsi="Verdana"/>
          <w:sz w:val="22"/>
          <w:szCs w:val="22"/>
          <w:lang w:val="fr-BE"/>
        </w:rPr>
        <w:t>ti</w:t>
      </w:r>
      <w:r w:rsidRPr="000157D8">
        <w:rPr>
          <w:rFonts w:ascii="Verdana" w:hAnsi="Verdana"/>
          <w:sz w:val="22"/>
          <w:szCs w:val="22"/>
          <w:lang w:val="fr-BE"/>
        </w:rPr>
        <w:t>e</w:t>
      </w:r>
      <w:proofErr w:type="spellEnd"/>
      <w:r w:rsidRPr="000157D8">
        <w:rPr>
          <w:rFonts w:ascii="Verdana" w:hAnsi="Verdana"/>
          <w:sz w:val="22"/>
          <w:szCs w:val="22"/>
          <w:lang w:val="fr-BE"/>
        </w:rPr>
        <w:t>: 12</w:t>
      </w:r>
    </w:p>
    <w:p w:rsidR="000157D8" w:rsidRPr="000157D8" w:rsidRDefault="000157D8" w:rsidP="000157D8">
      <w:pPr>
        <w:numPr>
          <w:ilvl w:val="1"/>
          <w:numId w:val="7"/>
        </w:numPr>
        <w:spacing w:after="60"/>
        <w:rPr>
          <w:rFonts w:ascii="Verdana" w:hAnsi="Verdana"/>
          <w:sz w:val="22"/>
          <w:szCs w:val="22"/>
          <w:lang w:val="fr-BE"/>
        </w:rPr>
      </w:pPr>
      <w:r w:rsidRPr="000157D8">
        <w:rPr>
          <w:rFonts w:ascii="Verdana" w:hAnsi="Verdana"/>
          <w:sz w:val="22"/>
          <w:szCs w:val="22"/>
          <w:lang w:val="fr-BE"/>
        </w:rPr>
        <w:t>M</w:t>
      </w:r>
      <w:r w:rsidR="00F70806">
        <w:rPr>
          <w:rFonts w:ascii="Verdana" w:hAnsi="Verdana"/>
          <w:sz w:val="22"/>
          <w:szCs w:val="22"/>
          <w:lang w:val="fr-BE"/>
        </w:rPr>
        <w:t>edia</w:t>
      </w:r>
      <w:r w:rsidRPr="000157D8">
        <w:rPr>
          <w:rFonts w:ascii="Verdana" w:hAnsi="Verdana"/>
          <w:sz w:val="22"/>
          <w:szCs w:val="22"/>
          <w:lang w:val="fr-BE"/>
        </w:rPr>
        <w:t>: 4</w:t>
      </w:r>
    </w:p>
    <w:p w:rsidR="00455742" w:rsidRPr="00D9489A" w:rsidRDefault="000157D8" w:rsidP="00455742">
      <w:pPr>
        <w:numPr>
          <w:ilvl w:val="1"/>
          <w:numId w:val="7"/>
        </w:numPr>
        <w:spacing w:after="60"/>
        <w:rPr>
          <w:rFonts w:ascii="Verdana" w:hAnsi="Verdana"/>
          <w:sz w:val="22"/>
          <w:szCs w:val="22"/>
          <w:lang w:val="fr-BE"/>
        </w:rPr>
      </w:pPr>
      <w:proofErr w:type="spellStart"/>
      <w:r w:rsidRPr="000157D8">
        <w:rPr>
          <w:rFonts w:ascii="Verdana" w:hAnsi="Verdana"/>
          <w:sz w:val="22"/>
          <w:szCs w:val="22"/>
          <w:lang w:val="fr-BE"/>
        </w:rPr>
        <w:t>A</w:t>
      </w:r>
      <w:r>
        <w:rPr>
          <w:rFonts w:ascii="Verdana" w:hAnsi="Verdana"/>
          <w:sz w:val="22"/>
          <w:szCs w:val="22"/>
          <w:lang w:val="fr-BE"/>
        </w:rPr>
        <w:t>ndere</w:t>
      </w:r>
      <w:proofErr w:type="spellEnd"/>
      <w:r w:rsidRPr="000157D8">
        <w:rPr>
          <w:rFonts w:ascii="Verdana" w:hAnsi="Verdana"/>
          <w:sz w:val="22"/>
          <w:szCs w:val="22"/>
          <w:lang w:val="fr-BE"/>
        </w:rPr>
        <w:t xml:space="preserve">: </w:t>
      </w:r>
      <w:r w:rsidRPr="00455742">
        <w:rPr>
          <w:rFonts w:ascii="Verdana" w:hAnsi="Verdana"/>
          <w:sz w:val="22"/>
          <w:szCs w:val="22"/>
          <w:lang w:val="fr-BE"/>
        </w:rPr>
        <w:t>28</w:t>
      </w:r>
      <w:r w:rsidR="00455742" w:rsidRPr="00D9489A">
        <w:rPr>
          <w:rFonts w:ascii="Verdana" w:hAnsi="Verdana"/>
          <w:sz w:val="22"/>
          <w:szCs w:val="22"/>
          <w:lang w:val="fr-BE"/>
        </w:rPr>
        <w:t xml:space="preserve"> </w:t>
      </w:r>
    </w:p>
    <w:p w:rsidR="00455742" w:rsidRPr="00C056B5" w:rsidRDefault="00F70806" w:rsidP="00455742">
      <w:pPr>
        <w:numPr>
          <w:ilvl w:val="0"/>
          <w:numId w:val="7"/>
        </w:numPr>
        <w:spacing w:after="60"/>
        <w:rPr>
          <w:rFonts w:ascii="Verdana" w:hAnsi="Verdana"/>
          <w:sz w:val="22"/>
          <w:szCs w:val="22"/>
          <w:lang w:val="nl-BE"/>
        </w:rPr>
      </w:pPr>
      <w:r w:rsidRPr="00C056B5">
        <w:rPr>
          <w:rFonts w:ascii="Verdana" w:hAnsi="Verdana"/>
          <w:sz w:val="22"/>
          <w:szCs w:val="22"/>
          <w:lang w:val="nl-BE"/>
        </w:rPr>
        <w:t>Het CGKR heeft 5 rechtszaken aangespannen, waarvan een voor discriminatie op basis van een handicap</w:t>
      </w:r>
      <w:r w:rsidR="00455742" w:rsidRPr="00C056B5">
        <w:rPr>
          <w:rFonts w:ascii="Verdana" w:hAnsi="Verdana"/>
          <w:sz w:val="22"/>
          <w:szCs w:val="22"/>
          <w:lang w:val="nl-BE"/>
        </w:rPr>
        <w:t>.</w:t>
      </w:r>
    </w:p>
    <w:p w:rsidR="000157D8" w:rsidRPr="00C056B5" w:rsidRDefault="00F70806" w:rsidP="002E09B5">
      <w:pPr>
        <w:numPr>
          <w:ilvl w:val="0"/>
          <w:numId w:val="7"/>
        </w:numPr>
        <w:spacing w:after="60"/>
        <w:rPr>
          <w:rFonts w:ascii="Verdana" w:hAnsi="Verdana"/>
          <w:sz w:val="22"/>
          <w:szCs w:val="22"/>
          <w:lang w:val="nl-BE"/>
        </w:rPr>
      </w:pPr>
      <w:r w:rsidRPr="00C056B5">
        <w:rPr>
          <w:rFonts w:ascii="Verdana" w:hAnsi="Verdana"/>
          <w:sz w:val="22"/>
          <w:szCs w:val="22"/>
          <w:lang w:val="nl-BE"/>
        </w:rPr>
        <w:t xml:space="preserve">In </w:t>
      </w:r>
      <w:r w:rsidR="00455742" w:rsidRPr="00C056B5">
        <w:rPr>
          <w:rFonts w:ascii="Verdana" w:hAnsi="Verdana"/>
          <w:sz w:val="22"/>
          <w:szCs w:val="22"/>
          <w:lang w:val="nl-BE"/>
        </w:rPr>
        <w:t>4</w:t>
      </w:r>
      <w:r w:rsidR="00BF79D6" w:rsidRPr="00C056B5">
        <w:rPr>
          <w:rFonts w:ascii="Verdana" w:hAnsi="Verdana"/>
          <w:sz w:val="22"/>
          <w:szCs w:val="22"/>
          <w:lang w:val="nl-BE"/>
        </w:rPr>
        <w:t>6</w:t>
      </w:r>
      <w:r w:rsidR="00455742" w:rsidRPr="00C056B5">
        <w:rPr>
          <w:rFonts w:ascii="Verdana" w:hAnsi="Verdana"/>
          <w:sz w:val="22"/>
          <w:szCs w:val="22"/>
          <w:lang w:val="nl-BE"/>
        </w:rPr>
        <w:t xml:space="preserve"> dossiers</w:t>
      </w:r>
      <w:r w:rsidRPr="00C056B5">
        <w:rPr>
          <w:rFonts w:ascii="Verdana" w:hAnsi="Verdana"/>
          <w:sz w:val="22"/>
          <w:szCs w:val="22"/>
          <w:lang w:val="nl-BE"/>
        </w:rPr>
        <w:t xml:space="preserve"> kwam het tot een onderhandelde oplossing. Bijna de helft van die dossiers hadden betrekking op een handicap of op de gezondheidstoestand van de betrokkene</w:t>
      </w:r>
      <w:r w:rsidR="00BF79D6" w:rsidRPr="00C056B5">
        <w:rPr>
          <w:rFonts w:ascii="Verdana" w:hAnsi="Verdana"/>
          <w:sz w:val="22"/>
          <w:szCs w:val="22"/>
          <w:lang w:val="nl-BE"/>
        </w:rPr>
        <w:t>.</w:t>
      </w:r>
    </w:p>
    <w:p w:rsidR="00292174" w:rsidRPr="00655AA4" w:rsidRDefault="00292174" w:rsidP="00A120DF">
      <w:pPr>
        <w:pStyle w:val="Titre4"/>
        <w:rPr>
          <w:lang w:val="nl-BE"/>
        </w:rPr>
      </w:pPr>
      <w:r w:rsidRPr="00655AA4">
        <w:rPr>
          <w:lang w:val="nl-BE"/>
        </w:rPr>
        <w:t>Meervoudige discriminatie</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Een gediscrimineerd persoon wordt vaak tegelijk gediscrimineerd op basis van zijn handicap en op basis van an</w:t>
      </w:r>
      <w:r>
        <w:rPr>
          <w:rFonts w:ascii="Verdana" w:hAnsi="Verdana"/>
          <w:sz w:val="22"/>
          <w:szCs w:val="22"/>
          <w:lang w:val="nl-BE"/>
        </w:rPr>
        <w:t>dere discriminatiemotieven: man</w:t>
      </w:r>
      <w:r w:rsidRPr="00655AA4">
        <w:rPr>
          <w:rFonts w:ascii="Verdana" w:hAnsi="Verdana"/>
          <w:sz w:val="22"/>
          <w:szCs w:val="22"/>
          <w:lang w:val="nl-BE"/>
        </w:rPr>
        <w:t>–vrouw, leeftijd, etnische afkomst, …</w:t>
      </w:r>
    </w:p>
    <w:p w:rsidR="00292174" w:rsidRPr="00655AA4" w:rsidRDefault="00292174" w:rsidP="00C056B5">
      <w:pPr>
        <w:pStyle w:val="Titre4"/>
        <w:rPr>
          <w:lang w:val="nl-BE"/>
        </w:rPr>
      </w:pPr>
      <w:r w:rsidRPr="00655AA4">
        <w:rPr>
          <w:lang w:val="nl-BE"/>
        </w:rPr>
        <w:lastRenderedPageBreak/>
        <w:t>Analyse van de gegevens van het CGKR</w:t>
      </w:r>
    </w:p>
    <w:p w:rsidR="00292174" w:rsidRPr="00403099"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Voor de </w:t>
      </w:r>
      <w:proofErr w:type="spellStart"/>
      <w:r w:rsidRPr="00655AA4">
        <w:rPr>
          <w:rFonts w:ascii="Verdana" w:hAnsi="Verdana"/>
          <w:sz w:val="22"/>
          <w:szCs w:val="22"/>
          <w:lang w:val="nl-BE"/>
        </w:rPr>
        <w:t>ARPH's</w:t>
      </w:r>
      <w:proofErr w:type="spellEnd"/>
      <w:r w:rsidRPr="00655AA4">
        <w:rPr>
          <w:rFonts w:ascii="Verdana" w:hAnsi="Verdana"/>
          <w:sz w:val="22"/>
          <w:szCs w:val="22"/>
          <w:lang w:val="nl-BE"/>
        </w:rPr>
        <w:t xml:space="preserve"> en de </w:t>
      </w:r>
      <w:proofErr w:type="spellStart"/>
      <w:r w:rsidRPr="00655AA4">
        <w:rPr>
          <w:rFonts w:ascii="Verdana" w:hAnsi="Verdana"/>
          <w:sz w:val="22"/>
          <w:szCs w:val="22"/>
          <w:lang w:val="nl-BE"/>
        </w:rPr>
        <w:t>ROPH's</w:t>
      </w:r>
      <w:proofErr w:type="spellEnd"/>
      <w:r w:rsidRPr="00655AA4">
        <w:rPr>
          <w:rFonts w:ascii="Verdana" w:hAnsi="Verdana"/>
          <w:sz w:val="22"/>
          <w:szCs w:val="22"/>
          <w:lang w:val="nl-BE"/>
        </w:rPr>
        <w:t xml:space="preserve"> is het frappantste</w:t>
      </w:r>
      <w:r>
        <w:rPr>
          <w:rFonts w:ascii="Verdana" w:hAnsi="Verdana"/>
          <w:sz w:val="22"/>
          <w:szCs w:val="22"/>
          <w:lang w:val="nl-BE"/>
        </w:rPr>
        <w:t xml:space="preserve"> element duidelijk het feit dat </w:t>
      </w:r>
      <w:r w:rsidRPr="00655AA4">
        <w:rPr>
          <w:rFonts w:ascii="Verdana" w:hAnsi="Verdana"/>
          <w:sz w:val="22"/>
          <w:szCs w:val="22"/>
          <w:lang w:val="nl-BE"/>
        </w:rPr>
        <w:t>discriminatie</w:t>
      </w:r>
      <w:r>
        <w:rPr>
          <w:rFonts w:ascii="Verdana" w:hAnsi="Verdana"/>
          <w:sz w:val="22"/>
          <w:szCs w:val="22"/>
          <w:lang w:val="nl-BE"/>
        </w:rPr>
        <w:t xml:space="preserve"> op grond van handicap</w:t>
      </w:r>
      <w:r w:rsidRPr="00655AA4">
        <w:rPr>
          <w:rFonts w:ascii="Verdana" w:hAnsi="Verdana"/>
          <w:sz w:val="22"/>
          <w:szCs w:val="22"/>
          <w:lang w:val="nl-BE"/>
        </w:rPr>
        <w:t xml:space="preserve"> op de </w:t>
      </w:r>
      <w:r w:rsidR="006734FF" w:rsidRPr="006734FF">
        <w:rPr>
          <w:rFonts w:ascii="Verdana" w:hAnsi="Verdana"/>
          <w:sz w:val="22"/>
          <w:szCs w:val="22"/>
          <w:lang w:val="nl-BE"/>
        </w:rPr>
        <w:t xml:space="preserve">derde </w:t>
      </w:r>
      <w:r w:rsidRPr="006734FF">
        <w:rPr>
          <w:rFonts w:ascii="Verdana" w:hAnsi="Verdana"/>
          <w:sz w:val="22"/>
          <w:szCs w:val="22"/>
          <w:lang w:val="nl-BE"/>
        </w:rPr>
        <w:t xml:space="preserve">plaats staat, na discriminatie op grond van </w:t>
      </w:r>
      <w:r w:rsidRPr="00A90406">
        <w:rPr>
          <w:rFonts w:ascii="Verdana" w:hAnsi="Verdana"/>
          <w:sz w:val="22"/>
          <w:szCs w:val="22"/>
          <w:lang w:val="nl-BE"/>
        </w:rPr>
        <w:t>ras</w:t>
      </w:r>
      <w:r w:rsidR="00EC19AE" w:rsidRPr="00A90406">
        <w:rPr>
          <w:rFonts w:ascii="Verdana" w:hAnsi="Verdana"/>
          <w:sz w:val="22"/>
          <w:szCs w:val="22"/>
          <w:lang w:val="nl-BE"/>
        </w:rPr>
        <w:t xml:space="preserve"> </w:t>
      </w:r>
      <w:r w:rsidR="00A90406" w:rsidRPr="00A90406">
        <w:rPr>
          <w:rFonts w:ascii="Verdana" w:hAnsi="Verdana"/>
          <w:sz w:val="22"/>
          <w:szCs w:val="22"/>
          <w:lang w:val="nl-BE"/>
        </w:rPr>
        <w:t>e</w:t>
      </w:r>
      <w:r w:rsidR="00403099">
        <w:rPr>
          <w:rFonts w:ascii="Verdana" w:hAnsi="Verdana"/>
          <w:sz w:val="22"/>
          <w:szCs w:val="22"/>
          <w:lang w:val="nl-BE"/>
        </w:rPr>
        <w:t xml:space="preserve">n discriminatie op grond van religieuze overtuigingen. </w:t>
      </w:r>
      <w:r w:rsidR="00403099" w:rsidRPr="00403099">
        <w:rPr>
          <w:rFonts w:ascii="Verdana" w:hAnsi="Verdana"/>
          <w:sz w:val="22"/>
          <w:szCs w:val="22"/>
          <w:lang w:val="nl-BE"/>
        </w:rPr>
        <w:t>In 2011 stond discriminatie</w:t>
      </w:r>
      <w:r w:rsidR="00403099" w:rsidRPr="00C056B5">
        <w:rPr>
          <w:rFonts w:ascii="Verdana" w:hAnsi="Verdana"/>
          <w:sz w:val="22"/>
          <w:szCs w:val="22"/>
          <w:lang w:val="nl-BE"/>
        </w:rPr>
        <w:t xml:space="preserve"> op grond van handicap nog op d</w:t>
      </w:r>
      <w:r w:rsidR="00403099" w:rsidRPr="00403099">
        <w:rPr>
          <w:rFonts w:ascii="Verdana" w:hAnsi="Verdana"/>
          <w:sz w:val="22"/>
          <w:szCs w:val="22"/>
          <w:lang w:val="nl-BE"/>
        </w:rPr>
        <w:t xml:space="preserve">e tweede plaats. </w:t>
      </w:r>
    </w:p>
    <w:p w:rsidR="00622C25" w:rsidRPr="00622C25" w:rsidRDefault="00292174" w:rsidP="00622C25">
      <w:pPr>
        <w:numPr>
          <w:ilvl w:val="0"/>
          <w:numId w:val="8"/>
        </w:numPr>
        <w:spacing w:after="120"/>
        <w:ind w:left="0" w:hanging="567"/>
        <w:rPr>
          <w:szCs w:val="22"/>
          <w:lang w:val="nl-BE"/>
        </w:rPr>
      </w:pPr>
      <w:r w:rsidRPr="00655AA4">
        <w:rPr>
          <w:rFonts w:ascii="Verdana" w:hAnsi="Verdana"/>
          <w:sz w:val="22"/>
          <w:szCs w:val="22"/>
          <w:lang w:val="nl-BE"/>
        </w:rPr>
        <w:t xml:space="preserve">Het aantal </w:t>
      </w:r>
      <w:r w:rsidR="00E27648">
        <w:rPr>
          <w:rFonts w:ascii="Verdana" w:hAnsi="Verdana"/>
          <w:sz w:val="22"/>
          <w:szCs w:val="22"/>
          <w:lang w:val="nl-BE"/>
        </w:rPr>
        <w:t>meldingen</w:t>
      </w:r>
      <w:r w:rsidR="00E27648" w:rsidRPr="00655AA4">
        <w:rPr>
          <w:rFonts w:ascii="Verdana" w:hAnsi="Verdana"/>
          <w:sz w:val="22"/>
          <w:szCs w:val="22"/>
          <w:lang w:val="nl-BE"/>
        </w:rPr>
        <w:t xml:space="preserve"> </w:t>
      </w:r>
      <w:r w:rsidRPr="00655AA4">
        <w:rPr>
          <w:rFonts w:ascii="Verdana" w:hAnsi="Verdana"/>
          <w:sz w:val="22"/>
          <w:szCs w:val="22"/>
          <w:lang w:val="nl-BE"/>
        </w:rPr>
        <w:t xml:space="preserve">van discriminatie op </w:t>
      </w:r>
      <w:r>
        <w:rPr>
          <w:rFonts w:ascii="Verdana" w:hAnsi="Verdana"/>
          <w:sz w:val="22"/>
          <w:szCs w:val="22"/>
          <w:lang w:val="nl-BE"/>
        </w:rPr>
        <w:t xml:space="preserve">grond van handicap </w:t>
      </w:r>
      <w:r w:rsidR="0049660A" w:rsidRPr="0049660A">
        <w:rPr>
          <w:rFonts w:ascii="Verdana" w:hAnsi="Verdana"/>
          <w:sz w:val="22"/>
          <w:szCs w:val="22"/>
          <w:lang w:val="nl-BE"/>
        </w:rPr>
        <w:t>e</w:t>
      </w:r>
      <w:r w:rsidR="00DF05E2">
        <w:rPr>
          <w:rFonts w:ascii="Verdana" w:hAnsi="Verdana"/>
          <w:sz w:val="22"/>
          <w:szCs w:val="22"/>
          <w:lang w:val="nl-BE"/>
        </w:rPr>
        <w:t>n</w:t>
      </w:r>
      <w:r w:rsidR="00403099">
        <w:rPr>
          <w:rFonts w:ascii="Verdana" w:hAnsi="Verdana"/>
          <w:sz w:val="22"/>
          <w:szCs w:val="22"/>
          <w:lang w:val="nl-BE"/>
        </w:rPr>
        <w:t xml:space="preserve"> gezondheidstoestand steeg sterk in 2012</w:t>
      </w:r>
      <w:r w:rsidR="0049660A" w:rsidRPr="0049660A">
        <w:rPr>
          <w:rFonts w:ascii="Verdana" w:hAnsi="Verdana"/>
          <w:sz w:val="22"/>
          <w:szCs w:val="22"/>
          <w:lang w:val="nl-BE"/>
        </w:rPr>
        <w:t xml:space="preserve">: </w:t>
      </w:r>
      <w:r w:rsidR="0049660A">
        <w:rPr>
          <w:rFonts w:ascii="Verdana" w:hAnsi="Verdana"/>
          <w:sz w:val="22"/>
          <w:szCs w:val="22"/>
          <w:lang w:val="nl-BE"/>
        </w:rPr>
        <w:t>e</w:t>
      </w:r>
      <w:r w:rsidR="0049660A" w:rsidRPr="00EC19AE">
        <w:rPr>
          <w:rFonts w:ascii="Verdana" w:hAnsi="Verdana"/>
          <w:sz w:val="22"/>
          <w:szCs w:val="22"/>
          <w:lang w:val="nl-BE"/>
        </w:rPr>
        <w:t>r kan</w:t>
      </w:r>
      <w:r w:rsidR="0049660A">
        <w:rPr>
          <w:rFonts w:ascii="Verdana" w:hAnsi="Verdana"/>
          <w:sz w:val="22"/>
          <w:szCs w:val="22"/>
          <w:lang w:val="nl-BE"/>
        </w:rPr>
        <w:t xml:space="preserve"> dus</w:t>
      </w:r>
      <w:r w:rsidR="0049660A" w:rsidRPr="00EC19AE">
        <w:rPr>
          <w:rFonts w:ascii="Verdana" w:hAnsi="Verdana"/>
          <w:sz w:val="22"/>
          <w:szCs w:val="22"/>
          <w:lang w:val="nl-BE"/>
        </w:rPr>
        <w:t xml:space="preserve"> redelijkerwijs worden aangenomen dat personen met een handicap, bijgestaan door hun representatieve organisaties</w:t>
      </w:r>
      <w:r w:rsidR="0049660A">
        <w:rPr>
          <w:rFonts w:ascii="Verdana" w:hAnsi="Verdana"/>
          <w:sz w:val="22"/>
          <w:szCs w:val="22"/>
          <w:lang w:val="nl-BE"/>
        </w:rPr>
        <w:t xml:space="preserve"> </w:t>
      </w:r>
      <w:r w:rsidR="0049660A" w:rsidRPr="00655AA4">
        <w:rPr>
          <w:rStyle w:val="Appelnotedebasdep"/>
          <w:rFonts w:ascii="Verdana" w:eastAsiaTheme="majorEastAsia" w:hAnsi="Verdana"/>
          <w:sz w:val="22"/>
          <w:szCs w:val="22"/>
          <w:lang w:val="nl-BE"/>
        </w:rPr>
        <w:footnoteReference w:id="8"/>
      </w:r>
      <w:r w:rsidR="0049660A" w:rsidRPr="00EC19AE">
        <w:rPr>
          <w:rFonts w:ascii="Verdana" w:hAnsi="Verdana"/>
          <w:sz w:val="22"/>
          <w:szCs w:val="22"/>
          <w:lang w:val="nl-BE"/>
        </w:rPr>
        <w:t>, zich steeds vaker richten tot het CGKR voor nuttig advies over hoe ze hun rechten kunnen doen gelden.</w:t>
      </w:r>
      <w:r w:rsidR="00622C25" w:rsidRPr="00622C25">
        <w:rPr>
          <w:szCs w:val="22"/>
          <w:lang w:val="nl-BE"/>
        </w:rPr>
        <w:t xml:space="preserve"> </w:t>
      </w:r>
    </w:p>
    <w:p w:rsidR="0049660A" w:rsidRPr="00C056B5" w:rsidRDefault="00F4506A" w:rsidP="00622C25">
      <w:pPr>
        <w:numPr>
          <w:ilvl w:val="0"/>
          <w:numId w:val="8"/>
        </w:numPr>
        <w:spacing w:after="120"/>
        <w:ind w:left="426" w:hanging="567"/>
        <w:rPr>
          <w:rFonts w:ascii="Verdana" w:hAnsi="Verdana"/>
          <w:sz w:val="22"/>
          <w:szCs w:val="22"/>
          <w:lang w:val="nl-BE"/>
        </w:rPr>
      </w:pPr>
      <w:r w:rsidRPr="00C056B5">
        <w:rPr>
          <w:rFonts w:ascii="Verdana" w:hAnsi="Verdana"/>
          <w:sz w:val="22"/>
          <w:szCs w:val="22"/>
          <w:lang w:val="nl-BE"/>
        </w:rPr>
        <w:t>Het aantal nieuwe dossiers dat door het CGKR werd aangemaakt voor gevallen van discriminatie op grond van handicap bleef min of meer constant in de drie voorbije jaren en daalde in 2012 zelfs licht (6%) ten opzichte van 2011.</w:t>
      </w:r>
    </w:p>
    <w:p w:rsidR="00622C25" w:rsidRPr="00C056B5" w:rsidRDefault="00292174" w:rsidP="008C7804">
      <w:pPr>
        <w:numPr>
          <w:ilvl w:val="0"/>
          <w:numId w:val="8"/>
        </w:numPr>
        <w:spacing w:after="120"/>
        <w:ind w:left="426" w:hanging="567"/>
        <w:rPr>
          <w:rFonts w:ascii="Verdana" w:hAnsi="Verdana"/>
          <w:sz w:val="22"/>
          <w:szCs w:val="22"/>
          <w:lang w:val="nl-BE"/>
        </w:rPr>
      </w:pPr>
      <w:r w:rsidRPr="00C056B5">
        <w:rPr>
          <w:rFonts w:ascii="Verdana" w:hAnsi="Verdana"/>
          <w:sz w:val="22"/>
          <w:szCs w:val="22"/>
          <w:lang w:val="nl-BE"/>
        </w:rPr>
        <w:t xml:space="preserve">Dat wil echter niet zeggen dat </w:t>
      </w:r>
      <w:r w:rsidR="00F4506A" w:rsidRPr="00C056B5">
        <w:rPr>
          <w:rFonts w:ascii="Verdana" w:hAnsi="Verdana"/>
          <w:sz w:val="22"/>
          <w:szCs w:val="22"/>
          <w:lang w:val="nl-BE"/>
        </w:rPr>
        <w:t xml:space="preserve">er minder </w:t>
      </w:r>
      <w:r w:rsidRPr="00C056B5">
        <w:rPr>
          <w:rFonts w:ascii="Verdana" w:hAnsi="Verdana"/>
          <w:sz w:val="22"/>
          <w:szCs w:val="22"/>
          <w:lang w:val="nl-BE"/>
        </w:rPr>
        <w:t>gevallen van discriminatie</w:t>
      </w:r>
      <w:r w:rsidR="00F4506A" w:rsidRPr="00C056B5">
        <w:rPr>
          <w:rFonts w:ascii="Verdana" w:hAnsi="Verdana"/>
          <w:sz w:val="22"/>
          <w:szCs w:val="22"/>
          <w:lang w:val="nl-BE"/>
        </w:rPr>
        <w:t xml:space="preserve"> zijn of dat personen met een handicap nu voldoende op de hoogte zijn van hun rechten en de werking van het CGKR om er weloverwogen een beroep op te doen.</w:t>
      </w:r>
      <w:r w:rsidR="00F4506A">
        <w:rPr>
          <w:rFonts w:ascii="Verdana" w:hAnsi="Verdana"/>
          <w:sz w:val="22"/>
          <w:szCs w:val="22"/>
          <w:lang w:val="nl-BE"/>
        </w:rPr>
        <w:t xml:space="preserve"> </w:t>
      </w:r>
    </w:p>
    <w:p w:rsidR="00526DC9" w:rsidRPr="00C056B5" w:rsidRDefault="00526DC9" w:rsidP="00306874">
      <w:pPr>
        <w:spacing w:after="120"/>
        <w:ind w:left="426"/>
        <w:rPr>
          <w:rFonts w:ascii="Verdana" w:hAnsi="Verdana"/>
          <w:sz w:val="22"/>
          <w:szCs w:val="22"/>
          <w:lang w:val="nl-BE"/>
        </w:rPr>
      </w:pP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 xml:space="preserve">Illustratie: op 4 en 5 december 2012 moesten talrijke personen met een handicap logies vinden in Brussel, in het kader van </w:t>
      </w:r>
      <w:r w:rsidR="00396F40">
        <w:rPr>
          <w:rFonts w:ascii="Verdana" w:hAnsi="Verdana"/>
          <w:sz w:val="22"/>
          <w:szCs w:val="22"/>
          <w:lang w:val="nl-BE"/>
        </w:rPr>
        <w:t xml:space="preserve">de Dag </w:t>
      </w:r>
      <w:r w:rsidRPr="00655AA4">
        <w:rPr>
          <w:rFonts w:ascii="Verdana" w:hAnsi="Verdana"/>
          <w:sz w:val="22"/>
          <w:szCs w:val="22"/>
          <w:lang w:val="nl-BE"/>
        </w:rPr>
        <w:t>van personen met een handicap</w:t>
      </w:r>
      <w:r w:rsidR="00396F40">
        <w:rPr>
          <w:rFonts w:ascii="Verdana" w:hAnsi="Verdana"/>
          <w:sz w:val="22"/>
          <w:szCs w:val="22"/>
          <w:lang w:val="nl-BE"/>
        </w:rPr>
        <w:t xml:space="preserve"> in </w:t>
      </w:r>
      <w:r w:rsidR="00396F40" w:rsidRPr="00655AA4">
        <w:rPr>
          <w:rFonts w:ascii="Verdana" w:hAnsi="Verdana"/>
          <w:sz w:val="22"/>
          <w:szCs w:val="22"/>
          <w:lang w:val="nl-BE"/>
        </w:rPr>
        <w:t>het Europees parlement</w:t>
      </w:r>
      <w:r w:rsidRPr="00655AA4">
        <w:rPr>
          <w:rFonts w:ascii="Verdana" w:hAnsi="Verdana"/>
          <w:sz w:val="22"/>
          <w:szCs w:val="22"/>
          <w:lang w:val="nl-BE"/>
        </w:rPr>
        <w:t xml:space="preserve">. </w:t>
      </w: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Het BDF werd door de vertegenwoordiger van de Franse nationale raad van personen met een handicap gecontacteerd omdat een hotel in het Brussels Hoofdstedelijk Gewest van een blinde eiste dat hij een bijkomend bedrag van 65,00 € zou betalen om er samen met zijn geleidehond te kunnen logeren.</w:t>
      </w: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 xml:space="preserve">Het BDF liet aan de betrokkene weten dat zulks inging tegen de Brusselse regelgeving inzake gelijke kansen en dat het contact zou opnemen met het CGKR om </w:t>
      </w:r>
      <w:r>
        <w:rPr>
          <w:rFonts w:ascii="Verdana" w:hAnsi="Verdana"/>
          <w:sz w:val="22"/>
          <w:szCs w:val="22"/>
          <w:lang w:val="nl-BE"/>
        </w:rPr>
        <w:t>een oplossing te helpen vinden</w:t>
      </w:r>
      <w:r w:rsidRPr="00655AA4">
        <w:rPr>
          <w:rFonts w:ascii="Verdana" w:hAnsi="Verdana"/>
          <w:sz w:val="22"/>
          <w:szCs w:val="22"/>
          <w:lang w:val="nl-BE"/>
        </w:rPr>
        <w:t xml:space="preserve">. </w:t>
      </w: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 xml:space="preserve">Toen de persoon zich opnieuw meldde bij de receptie van zijn hotel en liet weten dat contact </w:t>
      </w:r>
      <w:r>
        <w:rPr>
          <w:rFonts w:ascii="Verdana" w:hAnsi="Verdana"/>
          <w:sz w:val="22"/>
          <w:szCs w:val="22"/>
          <w:lang w:val="nl-BE"/>
        </w:rPr>
        <w:t>zou worden</w:t>
      </w:r>
      <w:r w:rsidRPr="00655AA4">
        <w:rPr>
          <w:rFonts w:ascii="Verdana" w:hAnsi="Verdana"/>
          <w:sz w:val="22"/>
          <w:szCs w:val="22"/>
          <w:lang w:val="nl-BE"/>
        </w:rPr>
        <w:t xml:space="preserve"> opgenomen met het CGKR, liet het hotel het extra bedrag onmiddellijk vallen, zonder enige tussenkomst van het CGKR. </w:t>
      </w: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Het stoot natuurlijk tegen de borst dat de persoon verplicht was het CGKR te vermelden om een elementair recht te kunnen genieten. Toch is het interessant vast te stellen dat het CGKR voldoende bekend is om de partijen te motiveren snel tot een vergelijk te komen</w:t>
      </w:r>
      <w:r>
        <w:rPr>
          <w:rFonts w:ascii="Verdana" w:hAnsi="Verdana"/>
          <w:sz w:val="22"/>
          <w:szCs w:val="22"/>
          <w:lang w:val="nl-BE"/>
        </w:rPr>
        <w:t>, zonder dat dit</w:t>
      </w:r>
      <w:r w:rsidRPr="00655AA4">
        <w:rPr>
          <w:rFonts w:ascii="Verdana" w:hAnsi="Verdana"/>
          <w:sz w:val="22"/>
          <w:szCs w:val="22"/>
          <w:lang w:val="nl-BE"/>
        </w:rPr>
        <w:t xml:space="preserve"> geld hoeft te kosten.</w:t>
      </w:r>
    </w:p>
    <w:p w:rsidR="00306874" w:rsidRPr="00655AA4" w:rsidRDefault="00306874" w:rsidP="00C12465">
      <w:pPr>
        <w:pStyle w:val="Titre4"/>
        <w:rPr>
          <w:lang w:val="nl-BE"/>
        </w:rPr>
      </w:pPr>
      <w:r w:rsidRPr="00655AA4">
        <w:rPr>
          <w:lang w:val="nl-BE"/>
        </w:rPr>
        <w:t>Discriminatie aantonen: een moeilijke zaak</w:t>
      </w:r>
    </w:p>
    <w:p w:rsidR="00306874" w:rsidRDefault="00306874" w:rsidP="00306874">
      <w:pPr>
        <w:spacing w:after="120"/>
        <w:rPr>
          <w:rFonts w:ascii="Verdana" w:hAnsi="Verdana"/>
          <w:sz w:val="22"/>
          <w:szCs w:val="22"/>
          <w:lang w:val="nl-BE"/>
        </w:rPr>
      </w:pPr>
      <w:r>
        <w:rPr>
          <w:rFonts w:ascii="Verdana" w:hAnsi="Verdana"/>
          <w:sz w:val="22"/>
          <w:szCs w:val="22"/>
          <w:lang w:val="nl-BE"/>
        </w:rPr>
        <w:t xml:space="preserve">18’. </w:t>
      </w:r>
      <w:r w:rsidRPr="00655AA4">
        <w:rPr>
          <w:rFonts w:ascii="Verdana" w:hAnsi="Verdana"/>
          <w:sz w:val="22"/>
          <w:szCs w:val="22"/>
          <w:lang w:val="nl-BE"/>
        </w:rPr>
        <w:t>Een persoon met een handicap die vindt dat hij wordt gediscr</w:t>
      </w:r>
      <w:r>
        <w:rPr>
          <w:rFonts w:ascii="Verdana" w:hAnsi="Verdana"/>
          <w:sz w:val="22"/>
          <w:szCs w:val="22"/>
          <w:lang w:val="nl-BE"/>
        </w:rPr>
        <w:t>imineerd op grond</w:t>
      </w:r>
      <w:r w:rsidRPr="00655AA4">
        <w:rPr>
          <w:rFonts w:ascii="Verdana" w:hAnsi="Verdana"/>
          <w:sz w:val="22"/>
          <w:szCs w:val="22"/>
          <w:lang w:val="nl-BE"/>
        </w:rPr>
        <w:t xml:space="preserve"> van zijn handicap, kan naar de rechtbank stappen. Toch komt </w:t>
      </w:r>
      <w:r w:rsidRPr="00655AA4">
        <w:rPr>
          <w:rFonts w:ascii="Verdana" w:hAnsi="Verdana"/>
          <w:sz w:val="22"/>
          <w:szCs w:val="22"/>
          <w:lang w:val="nl-BE"/>
        </w:rPr>
        <w:lastRenderedPageBreak/>
        <w:t xml:space="preserve">het zelden zo ver dat in een dossier de sancties worden toegepast waarin de non-discriminatiewet voorziet. </w:t>
      </w:r>
    </w:p>
    <w:p w:rsidR="00702A3F" w:rsidRPr="00655AA4" w:rsidRDefault="00702A3F" w:rsidP="00702A3F">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Het CGKR geeft de betrokkenen nuttig advies, zodat ze kunnen beoordelen of het zin heeft een rechtszaak aan te spannen: het grootste struikelblok daarbij is het gebrek aan voldoende bewijzen om in het gelijk te kunnen worden gesteld.</w:t>
      </w:r>
    </w:p>
    <w:p w:rsidR="00306874" w:rsidRPr="000806DF" w:rsidRDefault="000806DF" w:rsidP="000806DF">
      <w:pPr>
        <w:numPr>
          <w:ilvl w:val="0"/>
          <w:numId w:val="8"/>
        </w:numPr>
        <w:spacing w:after="120"/>
        <w:ind w:left="426" w:hanging="567"/>
        <w:rPr>
          <w:rFonts w:ascii="Verdana" w:hAnsi="Verdana"/>
          <w:sz w:val="22"/>
          <w:szCs w:val="22"/>
          <w:lang w:val="nl-BE"/>
        </w:rPr>
      </w:pPr>
      <w:r w:rsidRPr="000806DF">
        <w:rPr>
          <w:rFonts w:ascii="Verdana" w:hAnsi="Verdana"/>
          <w:sz w:val="22"/>
          <w:szCs w:val="22"/>
          <w:lang w:val="nl-BE"/>
        </w:rPr>
        <w:t>Discriminatie gebeurt immers vaak mondeling, zonder getuigen. Dergelijke gevallen kunnen door het parket enkel worden geklasseerd zonder gevolg.</w:t>
      </w:r>
    </w:p>
    <w:p w:rsidR="00306874" w:rsidRDefault="00306874" w:rsidP="003068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Bij een geschil neemt het CGKR contact op met de beschuldigde persoon of onderneming om te bemidde</w:t>
      </w:r>
      <w:r>
        <w:rPr>
          <w:rFonts w:ascii="Verdana" w:hAnsi="Verdana"/>
          <w:sz w:val="22"/>
          <w:szCs w:val="22"/>
          <w:lang w:val="nl-BE"/>
        </w:rPr>
        <w:t xml:space="preserve">len en </w:t>
      </w:r>
      <w:r w:rsidRPr="00655AA4">
        <w:rPr>
          <w:rFonts w:ascii="Verdana" w:hAnsi="Verdana"/>
          <w:sz w:val="22"/>
          <w:szCs w:val="22"/>
          <w:lang w:val="nl-BE"/>
        </w:rPr>
        <w:t>de wetgeving</w:t>
      </w:r>
      <w:r>
        <w:rPr>
          <w:rFonts w:ascii="Verdana" w:hAnsi="Verdana"/>
          <w:sz w:val="22"/>
          <w:szCs w:val="22"/>
          <w:lang w:val="nl-BE"/>
        </w:rPr>
        <w:t xml:space="preserve"> uit te leggen</w:t>
      </w:r>
      <w:r w:rsidRPr="00655AA4">
        <w:rPr>
          <w:rFonts w:ascii="Verdana" w:hAnsi="Verdana"/>
          <w:sz w:val="22"/>
          <w:szCs w:val="22"/>
          <w:lang w:val="nl-BE"/>
        </w:rPr>
        <w:t>. Op die manier kunnen bepaalde conflicten reeds worden opgelost zonder dat verdere stappen moeten worden gezet.</w:t>
      </w:r>
    </w:p>
    <w:p w:rsidR="00306874" w:rsidRPr="00C056B5" w:rsidRDefault="00443D66" w:rsidP="00443D66">
      <w:pPr>
        <w:pStyle w:val="Paragraphedeliste"/>
        <w:numPr>
          <w:ilvl w:val="0"/>
          <w:numId w:val="8"/>
        </w:numPr>
        <w:spacing w:after="120"/>
        <w:rPr>
          <w:rFonts w:ascii="Verdana" w:hAnsi="Verdana"/>
          <w:sz w:val="22"/>
          <w:szCs w:val="22"/>
          <w:lang w:val="nl-BE"/>
        </w:rPr>
      </w:pPr>
      <w:r w:rsidRPr="00C056B5">
        <w:rPr>
          <w:rFonts w:ascii="Verdana" w:hAnsi="Verdana"/>
          <w:sz w:val="22"/>
          <w:szCs w:val="22"/>
          <w:lang w:val="nl-BE"/>
        </w:rPr>
        <w:t xml:space="preserve"> Het CGKR geeft er immers de voorkeur aan om eerst te bemiddelen alvorens gerechtelijke stappen te ondernemen. </w:t>
      </w:r>
      <w:r>
        <w:rPr>
          <w:rFonts w:ascii="Verdana" w:hAnsi="Verdana"/>
          <w:sz w:val="22"/>
          <w:szCs w:val="22"/>
          <w:lang w:val="nl-BE"/>
        </w:rPr>
        <w:t xml:space="preserve">Het komt liever tot een oplossing door te onderhandelen, in het bijzonder in het kader van redelijke aanpassingen, in plaats van het risico te nemen een eventueel proces te verliezen waarop latere rechtspraak kan worden gebaseerd. Dat verklaart het beperkte aantal gevallen waarin het CGKR een rechtszaak aanspant. </w:t>
      </w:r>
    </w:p>
    <w:p w:rsidR="00292174" w:rsidRPr="00655AA4" w:rsidRDefault="00292174" w:rsidP="00292174">
      <w:pPr>
        <w:pStyle w:val="Titre2"/>
        <w:rPr>
          <w:b w:val="0"/>
          <w:i/>
          <w:sz w:val="24"/>
          <w:szCs w:val="24"/>
          <w:u w:val="single"/>
          <w:lang w:val="nl-BE"/>
        </w:rPr>
      </w:pPr>
      <w:r w:rsidRPr="00655AA4">
        <w:rPr>
          <w:rFonts w:ascii="Verdana" w:hAnsi="Verdana" w:cs="Times New Roman"/>
          <w:b w:val="0"/>
          <w:bCs w:val="0"/>
          <w:i/>
          <w:iCs/>
          <w:sz w:val="24"/>
          <w:szCs w:val="24"/>
          <w:u w:val="single"/>
          <w:lang w:val="nl-BE"/>
        </w:rPr>
        <w:t>Redelijke aanpassingen</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De wet van 10 mei 2007 geeft een omschrijving van het begrip </w:t>
      </w:r>
      <w:r w:rsidRPr="00655AA4">
        <w:rPr>
          <w:rFonts w:ascii="Verdana" w:hAnsi="Verdana"/>
          <w:i/>
          <w:sz w:val="22"/>
          <w:szCs w:val="22"/>
          <w:lang w:val="nl-BE"/>
        </w:rPr>
        <w:t>redelijke aanpassingen</w:t>
      </w:r>
      <w:r w:rsidRPr="00655AA4">
        <w:rPr>
          <w:rFonts w:ascii="Verdana" w:hAnsi="Verdana"/>
          <w:sz w:val="22"/>
          <w:szCs w:val="22"/>
          <w:lang w:val="nl-BE"/>
        </w:rPr>
        <w:t xml:space="preserve">.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Er is echter een duidelijk verschil tussen de intentie van de wetgever en de praktische uitvoering ervan. De contouren van het principe "redelijke aanpassingen" zijn immers bijzonder onduidelijk, waardoor het voor een persoon die vindt dat hij gediscrimineerd wordt </w:t>
      </w:r>
      <w:r>
        <w:rPr>
          <w:rFonts w:ascii="Verdana" w:hAnsi="Verdana"/>
          <w:sz w:val="22"/>
          <w:szCs w:val="22"/>
          <w:lang w:val="nl-BE"/>
        </w:rPr>
        <w:t>moeilijk of zelfs onmogelijk is</w:t>
      </w:r>
      <w:r w:rsidRPr="00655AA4">
        <w:rPr>
          <w:rFonts w:ascii="Verdana" w:hAnsi="Verdana"/>
          <w:sz w:val="22"/>
          <w:szCs w:val="22"/>
          <w:lang w:val="nl-BE"/>
        </w:rPr>
        <w:t xml:space="preserve"> te weten welke aanpassingen </w:t>
      </w:r>
      <w:r w:rsidR="006E01F8">
        <w:rPr>
          <w:rFonts w:ascii="Verdana" w:hAnsi="Verdana"/>
          <w:sz w:val="22"/>
          <w:szCs w:val="22"/>
          <w:lang w:val="nl-BE"/>
        </w:rPr>
        <w:t xml:space="preserve">hij </w:t>
      </w:r>
      <w:r>
        <w:rPr>
          <w:rFonts w:ascii="Verdana" w:hAnsi="Verdana"/>
          <w:sz w:val="22"/>
          <w:szCs w:val="22"/>
          <w:lang w:val="nl-BE"/>
        </w:rPr>
        <w:t>redelijk</w:t>
      </w:r>
      <w:r w:rsidR="006E01F8">
        <w:rPr>
          <w:rFonts w:ascii="Verdana" w:hAnsi="Verdana"/>
          <w:sz w:val="22"/>
          <w:szCs w:val="22"/>
          <w:lang w:val="nl-BE"/>
        </w:rPr>
        <w:t>erwijs en rechtmatig mag verwachten</w:t>
      </w:r>
      <w:r w:rsidRPr="00655AA4">
        <w:rPr>
          <w:rFonts w:ascii="Verdana" w:hAnsi="Verdana"/>
          <w:sz w:val="22"/>
          <w:szCs w:val="22"/>
          <w:lang w:val="nl-BE"/>
        </w:rPr>
        <w:t>.</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Omgekeerd gebruiken sommige dienstverleners de toekenning van een tegemoetkoming door de overheid als argument om te verantwoorden waarom ze geen redelijke aanpassingen voorzien, terwijl die terecht zouden mogen worden verwacht. </w:t>
      </w: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 xml:space="preserve">Illustratie: onder het voorwendsel dat de Franstalige doven van de overheid een jaarlijks forfaitair bedrag ontvangen voor een aantal </w:t>
      </w:r>
      <w:r w:rsidR="003D35CE">
        <w:rPr>
          <w:rFonts w:ascii="Verdana" w:hAnsi="Verdana"/>
          <w:sz w:val="22"/>
          <w:szCs w:val="22"/>
          <w:lang w:val="nl-BE"/>
        </w:rPr>
        <w:t>tolk</w:t>
      </w:r>
      <w:r w:rsidR="009E4CE1">
        <w:rPr>
          <w:rFonts w:ascii="Verdana" w:hAnsi="Verdana"/>
          <w:sz w:val="22"/>
          <w:szCs w:val="22"/>
          <w:lang w:val="nl-BE"/>
        </w:rPr>
        <w:t>-</w:t>
      </w:r>
      <w:r w:rsidR="003D35CE">
        <w:rPr>
          <w:rFonts w:ascii="Verdana" w:hAnsi="Verdana"/>
          <w:sz w:val="22"/>
          <w:szCs w:val="22"/>
          <w:lang w:val="nl-BE"/>
        </w:rPr>
        <w:t>uren</w:t>
      </w:r>
      <w:r w:rsidRPr="00655AA4">
        <w:rPr>
          <w:rFonts w:ascii="Verdana" w:hAnsi="Verdana"/>
          <w:sz w:val="22"/>
          <w:szCs w:val="22"/>
          <w:lang w:val="nl-BE"/>
        </w:rPr>
        <w:t>, weigeren werkgevers, overheidsdiensten en organisatoren van evenementen (conferenties, colloquia, …) vaak tolken te betalen. Daardoor zijn de tolk</w:t>
      </w:r>
      <w:r w:rsidR="009E4CE1">
        <w:rPr>
          <w:rFonts w:ascii="Verdana" w:hAnsi="Verdana"/>
          <w:sz w:val="22"/>
          <w:szCs w:val="22"/>
          <w:lang w:val="nl-BE"/>
        </w:rPr>
        <w:t>-</w:t>
      </w:r>
      <w:r w:rsidRPr="00655AA4">
        <w:rPr>
          <w:rFonts w:ascii="Verdana" w:hAnsi="Verdana"/>
          <w:sz w:val="22"/>
          <w:szCs w:val="22"/>
          <w:lang w:val="nl-BE"/>
        </w:rPr>
        <w:t xml:space="preserve">uren van doven zeer snel opgebruikt en kunnen ze </w:t>
      </w:r>
      <w:r>
        <w:rPr>
          <w:rFonts w:ascii="Verdana" w:hAnsi="Verdana"/>
          <w:sz w:val="22"/>
          <w:szCs w:val="22"/>
          <w:lang w:val="nl-BE"/>
        </w:rPr>
        <w:t xml:space="preserve">daarna </w:t>
      </w:r>
      <w:r w:rsidRPr="00655AA4">
        <w:rPr>
          <w:rFonts w:ascii="Verdana" w:hAnsi="Verdana"/>
          <w:sz w:val="22"/>
          <w:szCs w:val="22"/>
          <w:lang w:val="nl-BE"/>
        </w:rPr>
        <w:t>niet meer op gelijke voet met anderen deelnemen aan bepaalde evenementen.</w:t>
      </w:r>
    </w:p>
    <w:p w:rsidR="00292174" w:rsidRPr="00655AA4" w:rsidRDefault="00292174" w:rsidP="00292174">
      <w:pPr>
        <w:spacing w:after="120"/>
        <w:ind w:left="426" w:hanging="567"/>
        <w:rPr>
          <w:rFonts w:ascii="Verdana" w:hAnsi="Verdana"/>
          <w:sz w:val="22"/>
          <w:szCs w:val="22"/>
          <w:lang w:val="nl-BE"/>
        </w:rPr>
      </w:pP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Illustratie: In het officiële verslag beweert de overheid het volgende: "Personen met een handicap kunnen zich beroepen op de wetgeving, net zoals alle andere personen. Om de volledige juridische bescherming te waarborgen, zijn er maatregelen voorzien zoals tolken, met inbegrip van gebarentaaltolken."</w:t>
      </w: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lastRenderedPageBreak/>
        <w:t xml:space="preserve">Helaas is in het Franstalige landsgedeelte geen enkele maatregel genomen om de basisopleiding en de </w:t>
      </w:r>
      <w:r>
        <w:rPr>
          <w:rFonts w:ascii="Verdana" w:hAnsi="Verdana"/>
          <w:sz w:val="22"/>
          <w:szCs w:val="22"/>
          <w:lang w:val="nl-BE"/>
        </w:rPr>
        <w:t>bijscholing</w:t>
      </w:r>
      <w:r w:rsidRPr="00655AA4">
        <w:rPr>
          <w:rFonts w:ascii="Verdana" w:hAnsi="Verdana"/>
          <w:sz w:val="22"/>
          <w:szCs w:val="22"/>
          <w:lang w:val="nl-BE"/>
        </w:rPr>
        <w:t xml:space="preserve"> van</w:t>
      </w:r>
      <w:r w:rsidR="00E85B6B">
        <w:rPr>
          <w:rFonts w:ascii="Verdana" w:hAnsi="Verdana"/>
          <w:sz w:val="22"/>
          <w:szCs w:val="22"/>
          <w:lang w:val="nl-BE"/>
        </w:rPr>
        <w:t xml:space="preserve"> </w:t>
      </w:r>
      <w:r w:rsidR="00C056B5">
        <w:rPr>
          <w:rFonts w:ascii="Verdana" w:hAnsi="Verdana"/>
          <w:sz w:val="22"/>
          <w:szCs w:val="22"/>
          <w:lang w:val="nl-BE"/>
        </w:rPr>
        <w:t xml:space="preserve">tolken gebarentaal </w:t>
      </w:r>
      <w:r w:rsidRPr="00655AA4">
        <w:rPr>
          <w:rFonts w:ascii="Verdana" w:hAnsi="Verdana"/>
          <w:sz w:val="22"/>
          <w:szCs w:val="22"/>
          <w:lang w:val="nl-BE"/>
        </w:rPr>
        <w:t>te organiseren en te erkennen. Het beroep is niet erkend. Het aantal doventolken is veel te klein om te kunnen voldoen aan de behoeften van doven die Franse gebarentaal gebruiken.</w:t>
      </w:r>
    </w:p>
    <w:p w:rsidR="00292174" w:rsidRPr="00655AA4" w:rsidRDefault="00292174" w:rsidP="005D5D90">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Hoe kunnen doven in dergelijke omstandigheden op gelijke voet met de andere burgers volledige juridische bescherming genieten?</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Voor een persoon met een handicap is het probleem dat hij niet weet of de </w:t>
      </w:r>
      <w:r>
        <w:rPr>
          <w:rFonts w:ascii="Verdana" w:hAnsi="Verdana"/>
          <w:sz w:val="22"/>
          <w:szCs w:val="22"/>
          <w:lang w:val="nl-BE"/>
        </w:rPr>
        <w:t xml:space="preserve">aanpassingen </w:t>
      </w:r>
      <w:r w:rsidRPr="00655AA4">
        <w:rPr>
          <w:rFonts w:ascii="Verdana" w:hAnsi="Verdana"/>
          <w:sz w:val="22"/>
          <w:szCs w:val="22"/>
          <w:lang w:val="nl-BE"/>
        </w:rPr>
        <w:t>die hij voor ogen heeft al dan niet redelijk</w:t>
      </w:r>
      <w:r>
        <w:rPr>
          <w:rFonts w:ascii="Verdana" w:hAnsi="Verdana"/>
          <w:sz w:val="22"/>
          <w:szCs w:val="22"/>
          <w:lang w:val="nl-BE"/>
        </w:rPr>
        <w:t xml:space="preserve"> </w:t>
      </w:r>
      <w:r w:rsidRPr="00655AA4">
        <w:rPr>
          <w:rFonts w:ascii="Verdana" w:hAnsi="Verdana"/>
          <w:sz w:val="22"/>
          <w:szCs w:val="22"/>
          <w:lang w:val="nl-BE"/>
        </w:rPr>
        <w:t xml:space="preserve">zijn. Als alle partijen akkoord gaan met de aanpassingen, geen probleem. Maar wat als dat niet het geval is? Een lange en dure rechtszaak aanspannen waarvan de uitslag onzeker is?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In het beste geval komt er een uitspraak lang nadat de nefaste effecten van het gebrek aan redelijke aanpassingen </w:t>
      </w:r>
      <w:r>
        <w:rPr>
          <w:rFonts w:ascii="Verdana" w:hAnsi="Verdana"/>
          <w:sz w:val="22"/>
          <w:szCs w:val="22"/>
          <w:lang w:val="nl-BE"/>
        </w:rPr>
        <w:t>hun uitwerking hebben gehad</w:t>
      </w:r>
      <w:r w:rsidRPr="00655AA4">
        <w:rPr>
          <w:rFonts w:ascii="Verdana" w:hAnsi="Verdana"/>
          <w:sz w:val="22"/>
          <w:szCs w:val="22"/>
          <w:lang w:val="nl-BE"/>
        </w:rPr>
        <w:t xml:space="preserve">. </w:t>
      </w: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 xml:space="preserve">Illustratie: in het onderwijs is er een groot gebrek aan redelijke aanpassingen. In rechtszaken blijft een vonnis vaak zo lang uit dat het kind met een handicap al niet meer naar de school in kwestie gaat. Het kind heeft dan niet het gewenste onderwijs kunnen volgen en voor het kind zal het verlies wel degelijk onredelijk zijn…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In dit stadium is de informatie waarover personen met een handicap beschikken over het principe van redelijke aanpassingen te theoretisch om ze op doeltreffende wijze te kunnen gebruiken. Van hun kant betreuren de </w:t>
      </w:r>
      <w:proofErr w:type="spellStart"/>
      <w:r w:rsidRPr="00655AA4">
        <w:rPr>
          <w:rFonts w:ascii="Verdana" w:hAnsi="Verdana"/>
          <w:sz w:val="22"/>
          <w:szCs w:val="22"/>
          <w:lang w:val="nl-BE"/>
        </w:rPr>
        <w:t>ARPH's</w:t>
      </w:r>
      <w:proofErr w:type="spellEnd"/>
      <w:r w:rsidRPr="00655AA4">
        <w:rPr>
          <w:rFonts w:ascii="Verdana" w:hAnsi="Verdana"/>
          <w:sz w:val="22"/>
          <w:szCs w:val="22"/>
          <w:lang w:val="nl-BE"/>
        </w:rPr>
        <w:t xml:space="preserve"> en de </w:t>
      </w:r>
      <w:proofErr w:type="spellStart"/>
      <w:r w:rsidRPr="00655AA4">
        <w:rPr>
          <w:rFonts w:ascii="Verdana" w:hAnsi="Verdana"/>
          <w:sz w:val="22"/>
          <w:szCs w:val="22"/>
          <w:lang w:val="nl-BE"/>
        </w:rPr>
        <w:t>ROPH's</w:t>
      </w:r>
      <w:proofErr w:type="spellEnd"/>
      <w:r w:rsidRPr="00655AA4">
        <w:rPr>
          <w:rFonts w:ascii="Verdana" w:hAnsi="Verdana"/>
          <w:sz w:val="22"/>
          <w:szCs w:val="22"/>
          <w:lang w:val="nl-BE"/>
        </w:rPr>
        <w:t xml:space="preserve"> dat ze de personen met een handicap in dit verband niet doeltreffend genoeg kunnen helpen.</w:t>
      </w:r>
    </w:p>
    <w:p w:rsidR="00292174" w:rsidRPr="00655AA4" w:rsidRDefault="00292174" w:rsidP="00292174">
      <w:pPr>
        <w:numPr>
          <w:ilvl w:val="0"/>
          <w:numId w:val="8"/>
        </w:numPr>
        <w:spacing w:after="120"/>
        <w:ind w:left="426" w:hanging="567"/>
        <w:rPr>
          <w:rFonts w:ascii="Verdana" w:hAnsi="Verdana"/>
          <w:sz w:val="22"/>
          <w:szCs w:val="22"/>
          <w:lang w:val="nl-BE"/>
        </w:rPr>
      </w:pPr>
      <w:r w:rsidRPr="005D5D90">
        <w:rPr>
          <w:rFonts w:ascii="Verdana" w:hAnsi="Verdana"/>
          <w:sz w:val="22"/>
          <w:szCs w:val="22"/>
          <w:lang w:val="nl-BE"/>
        </w:rPr>
        <w:t xml:space="preserve">Met dergelijke problemen kunnen personen met een handicap zich thans het best richten tot het CGKR, om te bekijken wat gedaan kan worden. Tot niet zo lang geleden dachten personen met een handicap er niet aan om zich tot het CGKR te wenden of aarzelden ze om dat te doen… </w:t>
      </w:r>
    </w:p>
    <w:p w:rsidR="00292174" w:rsidRPr="00655AA4" w:rsidRDefault="00292174" w:rsidP="00292174">
      <w:pPr>
        <w:pStyle w:val="Titre2"/>
        <w:rPr>
          <w:lang w:val="nl-BE"/>
        </w:rPr>
      </w:pPr>
      <w:r w:rsidRPr="00655AA4">
        <w:rPr>
          <w:lang w:val="nl-BE"/>
        </w:rPr>
        <w:t>Limieten van de rechtsmiddelen</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Wanneer een persoon met een handicap alleen of met de hulp van het CGKR via gerechtelijke weg zijn rechten wil doen gelden als persoon die een discriminatie heeft ondergaan, blijft</w:t>
      </w:r>
      <w:r>
        <w:rPr>
          <w:rFonts w:ascii="Verdana" w:hAnsi="Verdana"/>
          <w:sz w:val="22"/>
          <w:szCs w:val="22"/>
          <w:lang w:val="nl-BE"/>
        </w:rPr>
        <w:t xml:space="preserve"> de bewijslast een belangrijk probleem </w:t>
      </w:r>
      <w:r w:rsidRPr="00655AA4">
        <w:rPr>
          <w:rFonts w:ascii="Verdana" w:hAnsi="Verdana"/>
          <w:sz w:val="22"/>
          <w:szCs w:val="22"/>
          <w:lang w:val="nl-BE"/>
        </w:rPr>
        <w:t>om de effecti</w:t>
      </w:r>
      <w:r>
        <w:rPr>
          <w:rFonts w:ascii="Verdana" w:hAnsi="Verdana"/>
          <w:sz w:val="22"/>
          <w:szCs w:val="22"/>
          <w:lang w:val="nl-BE"/>
        </w:rPr>
        <w:t>e</w:t>
      </w:r>
      <w:r w:rsidRPr="00655AA4">
        <w:rPr>
          <w:rFonts w:ascii="Verdana" w:hAnsi="Verdana"/>
          <w:sz w:val="22"/>
          <w:szCs w:val="22"/>
          <w:lang w:val="nl-BE"/>
        </w:rPr>
        <w:t>v</w:t>
      </w:r>
      <w:r>
        <w:rPr>
          <w:rFonts w:ascii="Verdana" w:hAnsi="Verdana"/>
          <w:sz w:val="22"/>
          <w:szCs w:val="22"/>
          <w:lang w:val="nl-BE"/>
        </w:rPr>
        <w:t>e</w:t>
      </w:r>
      <w:r w:rsidRPr="00655AA4">
        <w:rPr>
          <w:rFonts w:ascii="Verdana" w:hAnsi="Verdana"/>
          <w:sz w:val="22"/>
          <w:szCs w:val="22"/>
          <w:lang w:val="nl-BE"/>
        </w:rPr>
        <w:t xml:space="preserve"> bescherming te waarborgen.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In vele gevallen beschikken personen met een handicap die worden geconfronteerd met discriminatie immers niet over de nodige bewijselementen om via gerechtelijke weg de correctie van het discriminerend gedrag of het herstel van de gevolgen ervan te bekomen.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De parketten klasseren deze zaken vaak zonder gevolg.</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Concreet wordt discriminerend gedrag meestal mondeling gesteld, of </w:t>
      </w:r>
      <w:r>
        <w:rPr>
          <w:rFonts w:ascii="Verdana" w:hAnsi="Verdana"/>
          <w:sz w:val="22"/>
          <w:szCs w:val="22"/>
          <w:lang w:val="nl-BE"/>
        </w:rPr>
        <w:t xml:space="preserve">wordt geargumenteerd met </w:t>
      </w:r>
      <w:r w:rsidRPr="00655AA4">
        <w:rPr>
          <w:rFonts w:ascii="Verdana" w:hAnsi="Verdana"/>
          <w:sz w:val="22"/>
          <w:szCs w:val="22"/>
          <w:lang w:val="nl-BE"/>
        </w:rPr>
        <w:t xml:space="preserve">andere elementen dan de handicap. </w:t>
      </w:r>
      <w:r>
        <w:rPr>
          <w:rFonts w:ascii="Verdana" w:hAnsi="Verdana"/>
          <w:sz w:val="22"/>
          <w:szCs w:val="22"/>
          <w:lang w:val="nl-BE"/>
        </w:rPr>
        <w:t>Personen met een handicap blijven dan ook zeer vaak achter met een gevoel van discriminatie</w:t>
      </w:r>
      <w:r w:rsidRPr="00655AA4">
        <w:rPr>
          <w:rFonts w:ascii="Verdana" w:hAnsi="Verdana"/>
          <w:sz w:val="22"/>
          <w:szCs w:val="22"/>
          <w:lang w:val="nl-BE"/>
        </w:rPr>
        <w:t>.</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lastRenderedPageBreak/>
        <w:t xml:space="preserve">Er </w:t>
      </w:r>
      <w:r>
        <w:rPr>
          <w:rFonts w:ascii="Verdana" w:hAnsi="Verdana"/>
          <w:sz w:val="22"/>
          <w:szCs w:val="22"/>
          <w:lang w:val="nl-BE"/>
        </w:rPr>
        <w:t>bestaat echter wel een voorbeeld</w:t>
      </w:r>
      <w:r w:rsidRPr="00655AA4">
        <w:rPr>
          <w:rFonts w:ascii="Verdana" w:hAnsi="Verdana"/>
          <w:sz w:val="22"/>
          <w:szCs w:val="22"/>
          <w:lang w:val="nl-BE"/>
        </w:rPr>
        <w:t>dossier: de veroordeling van de Vlaamse Regering wegens een gebrek aan redelijke aanpassingen voor doven</w:t>
      </w:r>
      <w:r w:rsidRPr="00655AA4">
        <w:rPr>
          <w:rStyle w:val="Appelnotedebasdep"/>
          <w:rFonts w:ascii="Verdana" w:eastAsiaTheme="majorEastAsia" w:hAnsi="Verdana"/>
          <w:sz w:val="22"/>
          <w:szCs w:val="22"/>
          <w:lang w:val="nl-BE"/>
        </w:rPr>
        <w:footnoteReference w:id="9"/>
      </w:r>
      <w:r w:rsidRPr="00655AA4">
        <w:rPr>
          <w:rFonts w:ascii="Verdana" w:hAnsi="Verdana"/>
          <w:sz w:val="22"/>
          <w:szCs w:val="22"/>
          <w:lang w:val="nl-BE"/>
        </w:rPr>
        <w:t>. Dit dossier vormt ongetwijfeld de basis voor bruikbare rechtspraak.</w:t>
      </w:r>
    </w:p>
    <w:p w:rsidR="00292174" w:rsidRPr="00C056B5"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Een ander aspect van rechtszaken is dat enkel de persoon die schade heeft geleden een zaak kan aanspannen. </w:t>
      </w:r>
      <w:r w:rsidR="00CE6F3D" w:rsidRPr="00C056B5">
        <w:rPr>
          <w:rFonts w:ascii="Verdana" w:hAnsi="Verdana"/>
          <w:sz w:val="22"/>
          <w:szCs w:val="22"/>
          <w:lang w:val="nl-BE"/>
        </w:rPr>
        <w:t xml:space="preserve">Een ROPH kan enkel in rechte optreden voor een persoon als die mogelijkheid is opgenomen in de statuten van de ROPH, wat </w:t>
      </w:r>
      <w:r w:rsidR="00CE6F3D">
        <w:rPr>
          <w:rFonts w:ascii="Verdana" w:hAnsi="Verdana"/>
          <w:sz w:val="22"/>
          <w:szCs w:val="22"/>
          <w:lang w:val="nl-BE"/>
        </w:rPr>
        <w:t xml:space="preserve">tot nu toe </w:t>
      </w:r>
      <w:r w:rsidR="00CE6F3D" w:rsidRPr="00C056B5">
        <w:rPr>
          <w:rFonts w:ascii="Verdana" w:hAnsi="Verdana"/>
          <w:sz w:val="22"/>
          <w:szCs w:val="22"/>
          <w:lang w:val="nl-BE"/>
        </w:rPr>
        <w:t>slechts zelden het geval is.</w:t>
      </w:r>
    </w:p>
    <w:p w:rsidR="00292174" w:rsidRPr="00C056B5"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Het CGKR kan op basis van de antidiscriminatiewet van 10 mei 2007 daarentegen wel gerechtelijke stappen ondernemen tegen handelingen die ingaan tegen het non-discriminatiep</w:t>
      </w:r>
      <w:r>
        <w:rPr>
          <w:rFonts w:ascii="Verdana" w:hAnsi="Verdana"/>
          <w:sz w:val="22"/>
          <w:szCs w:val="22"/>
          <w:lang w:val="nl-BE"/>
        </w:rPr>
        <w:t>r</w:t>
      </w:r>
      <w:r w:rsidRPr="00655AA4">
        <w:rPr>
          <w:rFonts w:ascii="Verdana" w:hAnsi="Verdana"/>
          <w:sz w:val="22"/>
          <w:szCs w:val="22"/>
          <w:lang w:val="nl-BE"/>
        </w:rPr>
        <w:t>incipe</w:t>
      </w:r>
      <w:r w:rsidRPr="002F74D2">
        <w:rPr>
          <w:rFonts w:ascii="Verdana" w:hAnsi="Verdana"/>
          <w:sz w:val="22"/>
          <w:szCs w:val="22"/>
          <w:lang w:val="nl-BE"/>
        </w:rPr>
        <w:t>.</w:t>
      </w:r>
      <w:r w:rsidR="002F74D2" w:rsidRPr="002F74D2">
        <w:rPr>
          <w:rFonts w:ascii="Verdana" w:hAnsi="Verdana"/>
          <w:sz w:val="22"/>
          <w:szCs w:val="22"/>
          <w:lang w:val="nl-BE"/>
        </w:rPr>
        <w:t xml:space="preserve"> </w:t>
      </w:r>
      <w:r w:rsidR="00CE6F3D">
        <w:rPr>
          <w:rFonts w:ascii="Verdana" w:hAnsi="Verdana"/>
          <w:sz w:val="22"/>
          <w:szCs w:val="22"/>
          <w:lang w:val="nl-BE"/>
        </w:rPr>
        <w:t xml:space="preserve">Het kan dat ook doen op basis van het decreet van de Vlaamse Gemeenschap van 2008. </w:t>
      </w:r>
    </w:p>
    <w:p w:rsidR="00292174" w:rsidRPr="00A44D4E"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Het CGKR onderneemt ook gerechtelijke stappen, maar </w:t>
      </w:r>
      <w:r>
        <w:rPr>
          <w:rFonts w:ascii="Verdana" w:hAnsi="Verdana"/>
          <w:sz w:val="22"/>
          <w:szCs w:val="22"/>
          <w:lang w:val="nl-BE"/>
        </w:rPr>
        <w:t>is daarbij erg</w:t>
      </w:r>
      <w:r w:rsidRPr="00655AA4">
        <w:rPr>
          <w:rFonts w:ascii="Verdana" w:hAnsi="Verdana"/>
          <w:sz w:val="22"/>
          <w:szCs w:val="22"/>
          <w:lang w:val="nl-BE"/>
        </w:rPr>
        <w:t xml:space="preserve"> voorzichtig</w:t>
      </w:r>
      <w:r>
        <w:rPr>
          <w:rFonts w:ascii="Verdana" w:hAnsi="Verdana"/>
          <w:sz w:val="22"/>
          <w:szCs w:val="22"/>
          <w:lang w:val="nl-BE"/>
        </w:rPr>
        <w:t>:</w:t>
      </w:r>
      <w:r w:rsidRPr="00655AA4">
        <w:rPr>
          <w:rFonts w:ascii="Verdana" w:hAnsi="Verdana"/>
          <w:sz w:val="22"/>
          <w:szCs w:val="22"/>
          <w:lang w:val="nl-BE"/>
        </w:rPr>
        <w:t xml:space="preserve"> het zou contraproductief zijn voor het centrum als het een zaak zou verliezen. Het CGKR zet dan ook enkel gerechtelijke stappen wanneer de kans groot is dat het de zaak wint </w:t>
      </w:r>
      <w:r w:rsidRPr="00454DB7">
        <w:rPr>
          <w:rFonts w:ascii="Verdana" w:hAnsi="Verdana"/>
          <w:sz w:val="22"/>
          <w:szCs w:val="22"/>
          <w:lang w:val="nl-BE"/>
        </w:rPr>
        <w:t>en</w:t>
      </w:r>
      <w:r w:rsidR="0081391F">
        <w:rPr>
          <w:rFonts w:ascii="Verdana" w:hAnsi="Verdana"/>
          <w:sz w:val="22"/>
          <w:szCs w:val="22"/>
          <w:lang w:val="nl-BE"/>
        </w:rPr>
        <w:t xml:space="preserve"> het bekomen van een gunstig vonnis voldoende baat oplevert op maatschappelijk vlak</w:t>
      </w:r>
      <w:r w:rsidRPr="00655AA4">
        <w:rPr>
          <w:rFonts w:ascii="Verdana" w:hAnsi="Verdana"/>
          <w:sz w:val="22"/>
          <w:szCs w:val="22"/>
          <w:lang w:val="nl-BE"/>
        </w:rPr>
        <w:t xml:space="preserve">: </w:t>
      </w:r>
      <w:r>
        <w:rPr>
          <w:rFonts w:ascii="Verdana" w:hAnsi="Verdana"/>
          <w:sz w:val="22"/>
          <w:szCs w:val="22"/>
          <w:lang w:val="nl-BE"/>
        </w:rPr>
        <w:t>een positieve evolutie in de</w:t>
      </w:r>
      <w:r w:rsidRPr="00655AA4">
        <w:rPr>
          <w:rFonts w:ascii="Verdana" w:hAnsi="Verdana"/>
          <w:sz w:val="22"/>
          <w:szCs w:val="22"/>
          <w:lang w:val="nl-BE"/>
        </w:rPr>
        <w:t xml:space="preserve"> rechtspraak, </w:t>
      </w:r>
      <w:r>
        <w:rPr>
          <w:rFonts w:ascii="Verdana" w:hAnsi="Verdana"/>
          <w:sz w:val="22"/>
          <w:szCs w:val="22"/>
          <w:lang w:val="nl-BE"/>
        </w:rPr>
        <w:t xml:space="preserve">een </w:t>
      </w:r>
      <w:r w:rsidRPr="00655AA4">
        <w:rPr>
          <w:rFonts w:ascii="Verdana" w:hAnsi="Verdana"/>
          <w:sz w:val="22"/>
          <w:szCs w:val="22"/>
          <w:lang w:val="nl-BE"/>
        </w:rPr>
        <w:t>ver</w:t>
      </w:r>
      <w:r>
        <w:rPr>
          <w:rFonts w:ascii="Verdana" w:hAnsi="Verdana"/>
          <w:sz w:val="22"/>
          <w:szCs w:val="22"/>
          <w:lang w:val="nl-BE"/>
        </w:rPr>
        <w:t>duidelijking van de wetgeving of de bestraffing van</w:t>
      </w:r>
      <w:r w:rsidRPr="00655AA4">
        <w:rPr>
          <w:rFonts w:ascii="Verdana" w:hAnsi="Verdana"/>
          <w:sz w:val="22"/>
          <w:szCs w:val="22"/>
          <w:lang w:val="nl-BE"/>
        </w:rPr>
        <w:t xml:space="preserve"> bijzonder zware feiten (misdaden ingegeven door haat bijvoorbeeld).</w:t>
      </w:r>
      <w:r w:rsidR="00F7708E">
        <w:rPr>
          <w:rFonts w:ascii="Verdana" w:hAnsi="Verdana"/>
          <w:sz w:val="22"/>
          <w:szCs w:val="22"/>
          <w:lang w:val="nl-BE"/>
        </w:rPr>
        <w:t xml:space="preserve"> </w:t>
      </w:r>
    </w:p>
    <w:p w:rsidR="00292174" w:rsidRPr="00C056B5"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De gerechtelijke stappen van het CGKR in 2010 en 2011 hebben precedenten geschapen op het vlak van vrije tijd</w:t>
      </w:r>
      <w:r w:rsidRPr="00655AA4">
        <w:rPr>
          <w:rStyle w:val="Appelnotedebasdep"/>
          <w:rFonts w:ascii="Verdana" w:eastAsiaTheme="majorEastAsia" w:hAnsi="Verdana"/>
          <w:sz w:val="22"/>
          <w:szCs w:val="22"/>
          <w:lang w:val="nl-BE"/>
        </w:rPr>
        <w:footnoteReference w:id="10"/>
      </w:r>
      <w:r w:rsidRPr="00655AA4">
        <w:rPr>
          <w:rFonts w:ascii="Verdana" w:hAnsi="Verdana"/>
          <w:sz w:val="22"/>
          <w:szCs w:val="22"/>
          <w:lang w:val="nl-BE"/>
        </w:rPr>
        <w:t xml:space="preserve"> en tewerkstelling</w:t>
      </w:r>
      <w:r w:rsidRPr="00655AA4">
        <w:rPr>
          <w:rStyle w:val="Appelnotedebasdep"/>
          <w:rFonts w:ascii="Verdana" w:eastAsiaTheme="majorEastAsia" w:hAnsi="Verdana"/>
          <w:sz w:val="22"/>
          <w:szCs w:val="22"/>
          <w:lang w:val="nl-BE"/>
        </w:rPr>
        <w:footnoteReference w:id="11"/>
      </w:r>
      <w:r w:rsidRPr="00655AA4">
        <w:rPr>
          <w:rFonts w:ascii="Verdana" w:hAnsi="Verdana"/>
          <w:sz w:val="22"/>
          <w:szCs w:val="22"/>
          <w:lang w:val="nl-BE"/>
        </w:rPr>
        <w:t>. Het CGKR besliste om drie zaken voor het ger</w:t>
      </w:r>
      <w:r>
        <w:rPr>
          <w:rFonts w:ascii="Verdana" w:hAnsi="Verdana"/>
          <w:sz w:val="22"/>
          <w:szCs w:val="22"/>
          <w:lang w:val="nl-BE"/>
        </w:rPr>
        <w:t>echt te brengen, de eerste betrof</w:t>
      </w:r>
      <w:r w:rsidRPr="00655AA4">
        <w:rPr>
          <w:rFonts w:ascii="Verdana" w:hAnsi="Verdana"/>
          <w:sz w:val="22"/>
          <w:szCs w:val="22"/>
          <w:lang w:val="nl-BE"/>
        </w:rPr>
        <w:t xml:space="preserve"> iemand</w:t>
      </w:r>
      <w:r>
        <w:rPr>
          <w:rFonts w:ascii="Verdana" w:hAnsi="Verdana"/>
          <w:sz w:val="22"/>
          <w:szCs w:val="22"/>
          <w:lang w:val="nl-BE"/>
        </w:rPr>
        <w:t xml:space="preserve"> die</w:t>
      </w:r>
      <w:r w:rsidRPr="00655AA4">
        <w:rPr>
          <w:rFonts w:ascii="Verdana" w:hAnsi="Verdana"/>
          <w:sz w:val="22"/>
          <w:szCs w:val="22"/>
          <w:lang w:val="nl-BE"/>
        </w:rPr>
        <w:t xml:space="preserve"> niet werd aangeworven wegens </w:t>
      </w:r>
      <w:proofErr w:type="spellStart"/>
      <w:r w:rsidRPr="00655AA4">
        <w:rPr>
          <w:rFonts w:ascii="Verdana" w:hAnsi="Verdana"/>
          <w:sz w:val="22"/>
          <w:szCs w:val="22"/>
          <w:lang w:val="nl-BE"/>
        </w:rPr>
        <w:t>syndactylie</w:t>
      </w:r>
      <w:proofErr w:type="spellEnd"/>
      <w:r w:rsidRPr="00655AA4">
        <w:rPr>
          <w:rFonts w:ascii="Verdana" w:hAnsi="Verdana"/>
          <w:sz w:val="22"/>
          <w:szCs w:val="22"/>
          <w:lang w:val="nl-BE"/>
        </w:rPr>
        <w:t xml:space="preserve"> (vingers die aan elkaar zijn vastgegroeid), de tweede </w:t>
      </w:r>
      <w:r>
        <w:rPr>
          <w:rFonts w:ascii="Verdana" w:hAnsi="Verdana"/>
          <w:sz w:val="22"/>
          <w:szCs w:val="22"/>
          <w:lang w:val="nl-BE"/>
        </w:rPr>
        <w:t>betrof</w:t>
      </w:r>
      <w:r w:rsidRPr="00655AA4">
        <w:rPr>
          <w:rFonts w:ascii="Verdana" w:hAnsi="Verdana"/>
          <w:sz w:val="22"/>
          <w:szCs w:val="22"/>
          <w:lang w:val="nl-BE"/>
        </w:rPr>
        <w:t xml:space="preserve"> een man </w:t>
      </w:r>
      <w:r>
        <w:rPr>
          <w:rFonts w:ascii="Verdana" w:hAnsi="Verdana"/>
          <w:sz w:val="22"/>
          <w:szCs w:val="22"/>
          <w:lang w:val="nl-BE"/>
        </w:rPr>
        <w:t xml:space="preserve">die </w:t>
      </w:r>
      <w:r w:rsidRPr="00655AA4">
        <w:rPr>
          <w:rFonts w:ascii="Verdana" w:hAnsi="Verdana"/>
          <w:sz w:val="22"/>
          <w:szCs w:val="22"/>
          <w:lang w:val="nl-BE"/>
        </w:rPr>
        <w:t xml:space="preserve">werd ontslagen omdat hij vader was geworden van een kind met een handicap en de derde </w:t>
      </w:r>
      <w:r>
        <w:rPr>
          <w:rFonts w:ascii="Verdana" w:hAnsi="Verdana"/>
          <w:sz w:val="22"/>
          <w:szCs w:val="22"/>
          <w:lang w:val="nl-BE"/>
        </w:rPr>
        <w:t>betrof</w:t>
      </w:r>
      <w:r w:rsidRPr="00655AA4">
        <w:rPr>
          <w:rFonts w:ascii="Verdana" w:hAnsi="Verdana"/>
          <w:sz w:val="22"/>
          <w:szCs w:val="22"/>
          <w:lang w:val="nl-BE"/>
        </w:rPr>
        <w:t xml:space="preserve"> een vrouw</w:t>
      </w:r>
      <w:r>
        <w:rPr>
          <w:rFonts w:ascii="Verdana" w:hAnsi="Verdana"/>
          <w:sz w:val="22"/>
          <w:szCs w:val="22"/>
          <w:lang w:val="nl-BE"/>
        </w:rPr>
        <w:t xml:space="preserve"> die</w:t>
      </w:r>
      <w:r w:rsidRPr="00655AA4">
        <w:rPr>
          <w:rFonts w:ascii="Verdana" w:hAnsi="Verdana"/>
          <w:sz w:val="22"/>
          <w:szCs w:val="22"/>
          <w:lang w:val="nl-BE"/>
        </w:rPr>
        <w:t xml:space="preserve"> werd ontslagen omdat ze zwanger was en er medische complicaties waren opgetreden</w:t>
      </w:r>
      <w:r w:rsidR="0081391F">
        <w:rPr>
          <w:rFonts w:ascii="Verdana" w:hAnsi="Verdana"/>
          <w:sz w:val="22"/>
          <w:szCs w:val="22"/>
          <w:lang w:val="nl-BE"/>
        </w:rPr>
        <w:t>. In de loop van 2012 spande het CGKR in 5 dossiers een rechtszaak aan. Eén van die dossiers had betrekking op een geval van discriminatie op grond van handicap</w:t>
      </w:r>
      <w:r w:rsidR="0081391F" w:rsidRPr="00C056B5">
        <w:rPr>
          <w:rFonts w:ascii="Verdana" w:hAnsi="Verdana"/>
          <w:sz w:val="22"/>
          <w:szCs w:val="22"/>
          <w:lang w:val="nl-BE"/>
        </w:rPr>
        <w:t>.</w:t>
      </w:r>
    </w:p>
    <w:p w:rsidR="002F74D2" w:rsidRPr="002F74D2" w:rsidRDefault="002F74D2" w:rsidP="002F74D2">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Op het vlak van redelijke aanpassingen, blijken de rechters in de rechtspraak niet de nodige elementen te kunnen vinden om een vonnis in het voordeel van personen met een handicap te kunnen vellen. Ook deze zaken klasseren de parketten vaak zonder gevolg.</w:t>
      </w:r>
    </w:p>
    <w:p w:rsidR="00292174" w:rsidRPr="00655AA4" w:rsidRDefault="00292174" w:rsidP="00454DB7">
      <w:pPr>
        <w:pStyle w:val="Titre2"/>
        <w:rPr>
          <w:lang w:val="nl-BE"/>
        </w:rPr>
      </w:pPr>
      <w:r w:rsidRPr="00655AA4">
        <w:rPr>
          <w:lang w:val="nl-BE"/>
        </w:rPr>
        <w:t>Conclusie</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Concreet stellen de </w:t>
      </w:r>
      <w:proofErr w:type="spellStart"/>
      <w:r w:rsidRPr="00655AA4">
        <w:rPr>
          <w:rFonts w:ascii="Verdana" w:hAnsi="Verdana"/>
          <w:sz w:val="22"/>
          <w:szCs w:val="22"/>
          <w:lang w:val="nl-BE"/>
        </w:rPr>
        <w:t>ROPH's</w:t>
      </w:r>
      <w:proofErr w:type="spellEnd"/>
      <w:r w:rsidRPr="00655AA4">
        <w:rPr>
          <w:rFonts w:ascii="Verdana" w:hAnsi="Verdana"/>
          <w:sz w:val="22"/>
          <w:szCs w:val="22"/>
          <w:lang w:val="nl-BE"/>
        </w:rPr>
        <w:t xml:space="preserve"> en de </w:t>
      </w:r>
      <w:proofErr w:type="spellStart"/>
      <w:r w:rsidRPr="00655AA4">
        <w:rPr>
          <w:rFonts w:ascii="Verdana" w:hAnsi="Verdana"/>
          <w:sz w:val="22"/>
          <w:szCs w:val="22"/>
          <w:lang w:val="nl-BE"/>
        </w:rPr>
        <w:t>ARPH's</w:t>
      </w:r>
      <w:proofErr w:type="spellEnd"/>
      <w:r w:rsidRPr="00655AA4">
        <w:rPr>
          <w:rFonts w:ascii="Verdana" w:hAnsi="Verdana"/>
          <w:sz w:val="22"/>
          <w:szCs w:val="22"/>
          <w:lang w:val="nl-BE"/>
        </w:rPr>
        <w:t xml:space="preserve"> jammer genoeg vast dat personen met een handicap nog steeds regelmatig worden geconf</w:t>
      </w:r>
      <w:r>
        <w:rPr>
          <w:rFonts w:ascii="Verdana" w:hAnsi="Verdana"/>
          <w:sz w:val="22"/>
          <w:szCs w:val="22"/>
          <w:lang w:val="nl-BE"/>
        </w:rPr>
        <w:t>r</w:t>
      </w:r>
      <w:r w:rsidRPr="00655AA4">
        <w:rPr>
          <w:rFonts w:ascii="Verdana" w:hAnsi="Verdana"/>
          <w:sz w:val="22"/>
          <w:szCs w:val="22"/>
          <w:lang w:val="nl-BE"/>
        </w:rPr>
        <w:t>onteerd me</w:t>
      </w:r>
      <w:r>
        <w:rPr>
          <w:rFonts w:ascii="Verdana" w:hAnsi="Verdana"/>
          <w:sz w:val="22"/>
          <w:szCs w:val="22"/>
          <w:lang w:val="nl-BE"/>
        </w:rPr>
        <w:t>t discriminatie. Zoals</w:t>
      </w:r>
      <w:r w:rsidRPr="00655AA4">
        <w:rPr>
          <w:rFonts w:ascii="Verdana" w:hAnsi="Verdana"/>
          <w:sz w:val="22"/>
          <w:szCs w:val="22"/>
          <w:lang w:val="nl-BE"/>
        </w:rPr>
        <w:t xml:space="preserve"> vermeld, zijn de principes opgenomen in de regelgeving, maar moet nog vooruitgang worden geboekt op het vlak van de denkwijzen. Op dat vlak wijzen de </w:t>
      </w:r>
      <w:proofErr w:type="spellStart"/>
      <w:r w:rsidRPr="00655AA4">
        <w:rPr>
          <w:rFonts w:ascii="Verdana" w:hAnsi="Verdana"/>
          <w:sz w:val="22"/>
          <w:szCs w:val="22"/>
          <w:lang w:val="nl-BE"/>
        </w:rPr>
        <w:t>ROPH's</w:t>
      </w:r>
      <w:proofErr w:type="spellEnd"/>
      <w:r w:rsidRPr="00655AA4">
        <w:rPr>
          <w:rFonts w:ascii="Verdana" w:hAnsi="Verdana"/>
          <w:sz w:val="22"/>
          <w:szCs w:val="22"/>
          <w:lang w:val="nl-BE"/>
        </w:rPr>
        <w:t xml:space="preserve"> en de </w:t>
      </w:r>
      <w:proofErr w:type="spellStart"/>
      <w:r w:rsidRPr="00655AA4">
        <w:rPr>
          <w:rFonts w:ascii="Verdana" w:hAnsi="Verdana"/>
          <w:sz w:val="22"/>
          <w:szCs w:val="22"/>
          <w:lang w:val="nl-BE"/>
        </w:rPr>
        <w:t>ARPH's</w:t>
      </w:r>
      <w:proofErr w:type="spellEnd"/>
      <w:r w:rsidRPr="00655AA4">
        <w:rPr>
          <w:rFonts w:ascii="Verdana" w:hAnsi="Verdana"/>
          <w:sz w:val="22"/>
          <w:szCs w:val="22"/>
          <w:lang w:val="nl-BE"/>
        </w:rPr>
        <w:t xml:space="preserve"> op twee belangrijke aspecten: enerzijds de media-</w:t>
      </w:r>
      <w:r w:rsidRPr="00655AA4">
        <w:rPr>
          <w:rFonts w:ascii="Verdana" w:hAnsi="Verdana"/>
          <w:sz w:val="22"/>
          <w:szCs w:val="22"/>
          <w:lang w:val="nl-BE"/>
        </w:rPr>
        <w:lastRenderedPageBreak/>
        <w:t xml:space="preserve">aandacht en anderzijds de weinig inclusieve organisatie van de Belgische maatschappij.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Vandaag laten de media zich bijna uitsluiten</w:t>
      </w:r>
      <w:r>
        <w:rPr>
          <w:rFonts w:ascii="Verdana" w:hAnsi="Verdana"/>
          <w:sz w:val="22"/>
          <w:szCs w:val="22"/>
          <w:lang w:val="nl-BE"/>
        </w:rPr>
        <w:t>d</w:t>
      </w:r>
      <w:r w:rsidRPr="00655AA4">
        <w:rPr>
          <w:rFonts w:ascii="Verdana" w:hAnsi="Verdana"/>
          <w:sz w:val="22"/>
          <w:szCs w:val="22"/>
          <w:lang w:val="nl-BE"/>
        </w:rPr>
        <w:t xml:space="preserve"> leiden door kijk-, luister- en bereikcijfers. Bij een dergelijke aanpak wordt te veel de klemtoon gelegd op sensatie en wordt vaak vergeten om aandacht te besteden aan belangrijke maatschappelijke principes, zoals gelijke kansen en non-discriminatie.</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Wat de organisatie van de maatschappij betreft, is het duidelijk dat de weinig inclusieve organisatie van de Belgische maatschappij de impact van discriminatie en het gebrek aan redelijke aanpassingen sterk vergroot. </w:t>
      </w:r>
    </w:p>
    <w:p w:rsidR="00292174" w:rsidRPr="00655AA4" w:rsidRDefault="00292174" w:rsidP="00292174">
      <w:pPr>
        <w:pStyle w:val="Titre2"/>
        <w:rPr>
          <w:lang w:val="nl-BE"/>
        </w:rPr>
      </w:pPr>
      <w:r w:rsidRPr="00655AA4">
        <w:rPr>
          <w:lang w:val="nl-BE"/>
        </w:rPr>
        <w:t>D. Ontwerpaanbevelingen</w:t>
      </w:r>
    </w:p>
    <w:p w:rsidR="004A17D1" w:rsidRPr="00C056B5" w:rsidRDefault="0081391F" w:rsidP="004A17D1">
      <w:pPr>
        <w:numPr>
          <w:ilvl w:val="0"/>
          <w:numId w:val="8"/>
        </w:numPr>
        <w:spacing w:after="120"/>
        <w:ind w:left="0" w:hanging="567"/>
        <w:rPr>
          <w:rFonts w:ascii="Verdana" w:hAnsi="Verdana"/>
          <w:sz w:val="22"/>
          <w:szCs w:val="22"/>
          <w:lang w:val="nl-BE"/>
        </w:rPr>
      </w:pPr>
      <w:r w:rsidRPr="00C056B5">
        <w:rPr>
          <w:rFonts w:ascii="Verdana" w:hAnsi="Verdana"/>
          <w:sz w:val="22"/>
          <w:szCs w:val="22"/>
          <w:lang w:val="nl-BE"/>
        </w:rPr>
        <w:t xml:space="preserve">Het is moeilijk om de denkwijzen te veranderen. </w:t>
      </w:r>
      <w:r w:rsidR="006E01F8" w:rsidRPr="00C056B5">
        <w:rPr>
          <w:rFonts w:ascii="Verdana" w:hAnsi="Verdana"/>
          <w:sz w:val="22"/>
          <w:szCs w:val="22"/>
          <w:lang w:val="nl-BE"/>
        </w:rPr>
        <w:t>Daarom zouden de principe</w:t>
      </w:r>
      <w:r w:rsidRPr="00C056B5">
        <w:rPr>
          <w:rFonts w:ascii="Verdana" w:hAnsi="Verdana"/>
          <w:sz w:val="22"/>
          <w:szCs w:val="22"/>
          <w:lang w:val="nl-BE"/>
        </w:rPr>
        <w:t>s van non-discriminatie systematisch en regelmatig moeten worden herhaal</w:t>
      </w:r>
      <w:r w:rsidR="006E01F8" w:rsidRPr="006E01F8">
        <w:rPr>
          <w:rFonts w:ascii="Verdana" w:hAnsi="Verdana"/>
          <w:sz w:val="22"/>
          <w:szCs w:val="22"/>
          <w:lang w:val="nl-BE"/>
        </w:rPr>
        <w:t>d</w:t>
      </w:r>
      <w:r w:rsidRPr="00C056B5">
        <w:rPr>
          <w:rFonts w:ascii="Verdana" w:hAnsi="Verdana"/>
          <w:sz w:val="22"/>
          <w:szCs w:val="22"/>
          <w:lang w:val="nl-BE"/>
        </w:rPr>
        <w:t xml:space="preserve"> telkens de gelegenheid daartoe zich voordoet, niet enkel</w:t>
      </w:r>
      <w:r w:rsidR="006E01F8" w:rsidRPr="00C056B5">
        <w:rPr>
          <w:rFonts w:ascii="Verdana" w:hAnsi="Verdana"/>
          <w:sz w:val="22"/>
          <w:szCs w:val="22"/>
          <w:lang w:val="nl-BE"/>
        </w:rPr>
        <w:t xml:space="preserve"> via nationale campagnes, maar ook vi</w:t>
      </w:r>
      <w:bookmarkStart w:id="0" w:name="_GoBack"/>
      <w:bookmarkEnd w:id="0"/>
      <w:r w:rsidR="006E01F8" w:rsidRPr="00C056B5">
        <w:rPr>
          <w:rFonts w:ascii="Verdana" w:hAnsi="Verdana"/>
          <w:sz w:val="22"/>
          <w:szCs w:val="22"/>
          <w:lang w:val="nl-BE"/>
        </w:rPr>
        <w:t>a de media, om zo veel mogelijk personen te bereiken.</w:t>
      </w:r>
      <w:r w:rsidR="004A17D1" w:rsidRPr="00C056B5">
        <w:rPr>
          <w:rFonts w:ascii="Verdana" w:hAnsi="Verdana"/>
          <w:sz w:val="22"/>
          <w:szCs w:val="22"/>
          <w:lang w:val="nl-BE"/>
        </w:rPr>
        <w:t xml:space="preserve"> </w:t>
      </w:r>
    </w:p>
    <w:p w:rsidR="004A17D1" w:rsidRPr="00C056B5" w:rsidRDefault="004A17D1">
      <w:pPr>
        <w:rPr>
          <w:lang w:val="nl-BE"/>
        </w:rPr>
      </w:pPr>
    </w:p>
    <w:sectPr w:rsidR="004A17D1" w:rsidRPr="00C056B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BF5" w:rsidRDefault="00885BF5" w:rsidP="00292174">
      <w:r>
        <w:separator/>
      </w:r>
    </w:p>
  </w:endnote>
  <w:endnote w:type="continuationSeparator" w:id="0">
    <w:p w:rsidR="00885BF5" w:rsidRDefault="00885BF5" w:rsidP="0029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Goudy ExtraBold">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BF5" w:rsidRDefault="00885BF5" w:rsidP="00292174">
      <w:r>
        <w:separator/>
      </w:r>
    </w:p>
  </w:footnote>
  <w:footnote w:type="continuationSeparator" w:id="0">
    <w:p w:rsidR="00885BF5" w:rsidRDefault="00885BF5" w:rsidP="00292174">
      <w:r>
        <w:continuationSeparator/>
      </w:r>
    </w:p>
  </w:footnote>
  <w:footnote w:id="1">
    <w:p w:rsidR="00E85B6B" w:rsidRPr="009C24D4" w:rsidRDefault="00E85B6B" w:rsidP="00292174">
      <w:pPr>
        <w:pStyle w:val="Notedebasdepage"/>
        <w:rPr>
          <w:sz w:val="18"/>
          <w:szCs w:val="18"/>
          <w:lang w:val="nl-BE"/>
        </w:rPr>
      </w:pPr>
      <w:r w:rsidRPr="009C24D4">
        <w:rPr>
          <w:rStyle w:val="Appelnotedebasdep"/>
          <w:rFonts w:eastAsiaTheme="majorEastAsia"/>
          <w:sz w:val="18"/>
          <w:szCs w:val="18"/>
        </w:rPr>
        <w:footnoteRef/>
      </w:r>
      <w:hyperlink r:id="rId1" w:history="1">
        <w:r w:rsidRPr="009C24D4">
          <w:rPr>
            <w:rStyle w:val="Lienhypertexte"/>
            <w:sz w:val="18"/>
            <w:szCs w:val="18"/>
            <w:lang w:val="nl-BE"/>
          </w:rPr>
          <w:t>http://www.diversiteit.be/?action=onderdeel&amp;onderdeel=189&amp;titel=Photographie+des+l%C3%A9gislations+antidiscrimination&amp;setLanguage=1</w:t>
        </w:r>
      </w:hyperlink>
    </w:p>
  </w:footnote>
  <w:footnote w:id="2">
    <w:p w:rsidR="00E85B6B" w:rsidRPr="00D96D90" w:rsidRDefault="00E85B6B" w:rsidP="00292174">
      <w:pPr>
        <w:pStyle w:val="Notedebasdepage"/>
        <w:rPr>
          <w:sz w:val="18"/>
          <w:szCs w:val="18"/>
          <w:lang w:val="nl-BE"/>
        </w:rPr>
      </w:pPr>
      <w:r w:rsidRPr="009C24D4">
        <w:rPr>
          <w:rStyle w:val="Appelnotedebasdep"/>
          <w:rFonts w:eastAsiaTheme="majorEastAsia"/>
          <w:sz w:val="18"/>
          <w:szCs w:val="18"/>
        </w:rPr>
        <w:footnoteRef/>
      </w:r>
      <w:hyperlink r:id="rId2" w:history="1">
        <w:r w:rsidRPr="009C24D4">
          <w:rPr>
            <w:rStyle w:val="Lienhypertexte"/>
            <w:sz w:val="18"/>
            <w:szCs w:val="18"/>
            <w:lang w:val="nl-BE"/>
          </w:rPr>
          <w:t>http://www.diversiteit.be/?action=onderdeel&amp;onderdeel=189&amp;titel=Photographie+des+l%C3&amp;setLanguage=1</w:t>
        </w:r>
      </w:hyperlink>
    </w:p>
  </w:footnote>
  <w:footnote w:id="3">
    <w:p w:rsidR="00E85B6B" w:rsidRPr="00F42546" w:rsidRDefault="00E85B6B" w:rsidP="00292174">
      <w:pPr>
        <w:pStyle w:val="Notedebasdepage"/>
        <w:rPr>
          <w:sz w:val="18"/>
          <w:szCs w:val="18"/>
        </w:rPr>
      </w:pPr>
      <w:r w:rsidRPr="00F42546">
        <w:rPr>
          <w:rStyle w:val="Appelnotedebasdep"/>
          <w:rFonts w:eastAsiaTheme="majorEastAsia"/>
          <w:sz w:val="18"/>
          <w:szCs w:val="18"/>
        </w:rPr>
        <w:footnoteRef/>
      </w:r>
      <w:r w:rsidRPr="00F42546">
        <w:rPr>
          <w:sz w:val="18"/>
          <w:szCs w:val="18"/>
        </w:rPr>
        <w:t xml:space="preserve"> Directive </w:t>
      </w:r>
      <w:hyperlink r:id="rId3" w:history="1">
        <w:r w:rsidRPr="006A6A62">
          <w:rPr>
            <w:rStyle w:val="Lienhypertexte"/>
            <w:rFonts w:eastAsiaTheme="majorEastAsia" w:cs="Arial"/>
            <w:sz w:val="18"/>
            <w:szCs w:val="18"/>
            <w:shd w:val="clear" w:color="auto" w:fill="FFFFFF"/>
          </w:rPr>
          <w:t>2000/78/EU</w:t>
        </w:r>
      </w:hyperlink>
    </w:p>
  </w:footnote>
  <w:footnote w:id="4">
    <w:p w:rsidR="00E85B6B" w:rsidRPr="00F42546" w:rsidRDefault="00E85B6B" w:rsidP="00292174">
      <w:pPr>
        <w:pStyle w:val="Notedebasdepage"/>
        <w:rPr>
          <w:sz w:val="18"/>
          <w:szCs w:val="18"/>
        </w:rPr>
      </w:pPr>
      <w:r w:rsidRPr="00D96D90">
        <w:rPr>
          <w:rStyle w:val="Appelnotedebasdep"/>
          <w:rFonts w:eastAsiaTheme="majorEastAsia"/>
          <w:sz w:val="18"/>
          <w:szCs w:val="18"/>
        </w:rPr>
        <w:footnoteRef/>
      </w:r>
      <w:r w:rsidRPr="00F42546">
        <w:rPr>
          <w:sz w:val="18"/>
          <w:szCs w:val="18"/>
        </w:rPr>
        <w:t xml:space="preserve"> </w:t>
      </w:r>
      <w:r w:rsidRPr="00F42546">
        <w:rPr>
          <w:sz w:val="16"/>
          <w:szCs w:val="16"/>
        </w:rPr>
        <w:t>http://www.diversiteit.be/?action=publicatie_detail&amp;id=158&amp;thema=2&amp;setLanguage=1</w:t>
      </w:r>
    </w:p>
  </w:footnote>
  <w:footnote w:id="5">
    <w:p w:rsidR="00E85B6B" w:rsidRPr="00F42546" w:rsidRDefault="00E85B6B">
      <w:pPr>
        <w:pStyle w:val="Notedebasdepage"/>
      </w:pPr>
      <w:r w:rsidRPr="00A85ABC">
        <w:rPr>
          <w:rStyle w:val="Appelnotedebasdep"/>
          <w:sz w:val="18"/>
          <w:szCs w:val="18"/>
        </w:rPr>
        <w:footnoteRef/>
      </w:r>
      <w:r w:rsidRPr="00F42546">
        <w:t xml:space="preserve"> </w:t>
      </w:r>
      <w:hyperlink r:id="rId4" w:anchor="handicap" w:history="1">
        <w:r w:rsidRPr="00A85ABC">
          <w:rPr>
            <w:rStyle w:val="Lienhypertexte"/>
            <w:sz w:val="16"/>
            <w:szCs w:val="16"/>
          </w:rPr>
          <w:t>http://www.diversiteit.be/?action=onderdeel&amp;onderdeel=50&amp;titel=Links&amp;setLanguage=1#handicap</w:t>
        </w:r>
      </w:hyperlink>
    </w:p>
  </w:footnote>
  <w:footnote w:id="6">
    <w:p w:rsidR="00E85B6B" w:rsidRPr="00DF29C3" w:rsidRDefault="00E85B6B">
      <w:pPr>
        <w:pStyle w:val="Notedebasdepage"/>
      </w:pPr>
      <w:r w:rsidRPr="00A85ABC">
        <w:rPr>
          <w:rStyle w:val="Appelnotedebasdep"/>
          <w:sz w:val="18"/>
          <w:szCs w:val="18"/>
        </w:rPr>
        <w:footnoteRef/>
      </w:r>
      <w:r w:rsidRPr="00DF29C3">
        <w:t xml:space="preserve"> </w:t>
      </w:r>
      <w:hyperlink r:id="rId5" w:history="1">
        <w:r w:rsidRPr="00A85ABC">
          <w:rPr>
            <w:rStyle w:val="Lienhypertexte"/>
            <w:sz w:val="16"/>
            <w:szCs w:val="16"/>
          </w:rPr>
          <w:t>http://www.diversiteit.be/?action=publicatie_detail&amp;id=161&amp;thema=2&amp;select_page=216&amp;setLanguage=1</w:t>
        </w:r>
      </w:hyperlink>
    </w:p>
  </w:footnote>
  <w:footnote w:id="7">
    <w:p w:rsidR="00E85B6B" w:rsidRPr="003101F0" w:rsidRDefault="00E85B6B" w:rsidP="00292174">
      <w:pPr>
        <w:rPr>
          <w:lang w:val="nl-BE"/>
        </w:rPr>
      </w:pPr>
      <w:r>
        <w:rPr>
          <w:rStyle w:val="Appelnotedebasdep"/>
          <w:rFonts w:eastAsiaTheme="majorEastAsia"/>
        </w:rPr>
        <w:footnoteRef/>
      </w:r>
      <w:r w:rsidRPr="003101F0">
        <w:rPr>
          <w:lang w:val="nl-BE"/>
        </w:rPr>
        <w:t xml:space="preserve"> </w:t>
      </w:r>
      <w:r w:rsidRPr="003101F0">
        <w:rPr>
          <w:sz w:val="18"/>
          <w:szCs w:val="18"/>
          <w:lang w:val="nl-BE"/>
        </w:rPr>
        <w:t xml:space="preserve">Het is interessant op te merken dat </w:t>
      </w:r>
      <w:r w:rsidR="00F70806">
        <w:rPr>
          <w:sz w:val="18"/>
          <w:szCs w:val="18"/>
          <w:lang w:val="nl-BE"/>
        </w:rPr>
        <w:t xml:space="preserve">dit type </w:t>
      </w:r>
      <w:r w:rsidRPr="003101F0">
        <w:rPr>
          <w:sz w:val="18"/>
          <w:szCs w:val="18"/>
          <w:lang w:val="nl-BE"/>
        </w:rPr>
        <w:t>verslag op de website van het CGKR</w:t>
      </w:r>
      <w:r>
        <w:rPr>
          <w:sz w:val="18"/>
          <w:szCs w:val="18"/>
          <w:lang w:val="nl-BE"/>
        </w:rPr>
        <w:t xml:space="preserve"> ook</w:t>
      </w:r>
      <w:r w:rsidRPr="003101F0">
        <w:rPr>
          <w:sz w:val="18"/>
          <w:szCs w:val="18"/>
          <w:lang w:val="nl-BE"/>
        </w:rPr>
        <w:t xml:space="preserve"> beschikbaar is in een "gemakkelijk leesbare" versie. </w:t>
      </w:r>
      <w:r>
        <w:rPr>
          <w:sz w:val="18"/>
          <w:szCs w:val="18"/>
          <w:lang w:val="nl-BE"/>
        </w:rPr>
        <w:t>Dat mag als normaal worden beschouwd voor het CGKR, maar aangezien het heel uitzonderlijk is dat het activiteitenverslag van een organisatie in een "gemakkelijk leesbare" versie bestaat, willen we dit toch opmerken</w:t>
      </w:r>
      <w:r w:rsidRPr="003101F0">
        <w:rPr>
          <w:sz w:val="18"/>
          <w:szCs w:val="18"/>
          <w:lang w:val="nl-BE"/>
        </w:rPr>
        <w:t>.</w:t>
      </w:r>
    </w:p>
  </w:footnote>
  <w:footnote w:id="8">
    <w:p w:rsidR="00E85B6B" w:rsidRPr="001F54D1" w:rsidRDefault="00E85B6B" w:rsidP="0049660A">
      <w:pPr>
        <w:pStyle w:val="Notedebasdepage"/>
        <w:rPr>
          <w:sz w:val="18"/>
          <w:szCs w:val="18"/>
          <w:lang w:val="nl-BE"/>
        </w:rPr>
      </w:pPr>
      <w:r>
        <w:rPr>
          <w:rStyle w:val="Appelnotedebasdep"/>
          <w:rFonts w:eastAsiaTheme="majorEastAsia"/>
        </w:rPr>
        <w:footnoteRef/>
      </w:r>
      <w:r w:rsidRPr="001F54D1">
        <w:rPr>
          <w:lang w:val="nl-BE"/>
        </w:rPr>
        <w:t xml:space="preserve"> </w:t>
      </w:r>
      <w:r>
        <w:rPr>
          <w:lang w:val="nl-BE"/>
        </w:rPr>
        <w:t xml:space="preserve">Pour rappel, </w:t>
      </w:r>
      <w:r>
        <w:rPr>
          <w:sz w:val="18"/>
          <w:szCs w:val="18"/>
          <w:lang w:val="nl-BE"/>
        </w:rPr>
        <w:t>h</w:t>
      </w:r>
      <w:r w:rsidRPr="001F54D1">
        <w:rPr>
          <w:sz w:val="18"/>
          <w:szCs w:val="18"/>
          <w:lang w:val="nl-BE"/>
        </w:rPr>
        <w:t>et CGKR heeft samenwerkingsakkoorden afgesloten met vele representatieve organisaties van personen met een handicap</w:t>
      </w:r>
    </w:p>
  </w:footnote>
  <w:footnote w:id="9">
    <w:p w:rsidR="00E85B6B" w:rsidRPr="00292174" w:rsidRDefault="00E85B6B" w:rsidP="00292174">
      <w:pPr>
        <w:pStyle w:val="Notedebasdepage"/>
        <w:rPr>
          <w:sz w:val="18"/>
          <w:szCs w:val="18"/>
          <w:lang w:val="nl-BE"/>
        </w:rPr>
      </w:pPr>
      <w:r>
        <w:rPr>
          <w:rStyle w:val="Appelnotedebasdep"/>
          <w:rFonts w:eastAsiaTheme="majorEastAsia"/>
        </w:rPr>
        <w:footnoteRef/>
      </w:r>
      <w:r w:rsidRPr="00292174">
        <w:rPr>
          <w:sz w:val="18"/>
          <w:szCs w:val="18"/>
          <w:lang w:val="nl-BE"/>
        </w:rPr>
        <w:t xml:space="preserve"> Cf. art. 24</w:t>
      </w:r>
    </w:p>
  </w:footnote>
  <w:footnote w:id="10">
    <w:p w:rsidR="00E85B6B" w:rsidRPr="00F67F37" w:rsidRDefault="00E85B6B" w:rsidP="00292174">
      <w:pPr>
        <w:pStyle w:val="Notedebasdepage"/>
        <w:rPr>
          <w:sz w:val="18"/>
          <w:szCs w:val="18"/>
          <w:lang w:val="nl-BE"/>
        </w:rPr>
      </w:pPr>
      <w:r>
        <w:rPr>
          <w:rStyle w:val="Appelnotedebasdep"/>
          <w:rFonts w:eastAsiaTheme="majorEastAsia"/>
        </w:rPr>
        <w:footnoteRef/>
      </w:r>
      <w:r w:rsidRPr="00F67F37">
        <w:rPr>
          <w:lang w:val="nl-BE"/>
        </w:rPr>
        <w:t xml:space="preserve"> </w:t>
      </w:r>
      <w:r w:rsidRPr="00F67F37">
        <w:rPr>
          <w:sz w:val="18"/>
          <w:szCs w:val="18"/>
          <w:lang w:val="nl-BE"/>
        </w:rPr>
        <w:t>Handelsrechtbank Gent, 29/09/2010, in beroep bevestig</w:t>
      </w:r>
      <w:r>
        <w:rPr>
          <w:sz w:val="18"/>
          <w:szCs w:val="18"/>
          <w:lang w:val="nl-BE"/>
        </w:rPr>
        <w:t>d</w:t>
      </w:r>
      <w:r w:rsidRPr="00F67F37">
        <w:rPr>
          <w:sz w:val="18"/>
          <w:szCs w:val="18"/>
          <w:lang w:val="nl-BE"/>
        </w:rPr>
        <w:t xml:space="preserve"> door het Hof van Beroep van Gent, 20/01/2011. </w:t>
      </w:r>
      <w:r>
        <w:rPr>
          <w:sz w:val="18"/>
          <w:szCs w:val="18"/>
          <w:lang w:val="nl-BE"/>
        </w:rPr>
        <w:t>Zie jaarverslag Discriminatie/Diversiteit</w:t>
      </w:r>
      <w:r w:rsidRPr="00F67F37">
        <w:rPr>
          <w:sz w:val="18"/>
          <w:szCs w:val="18"/>
          <w:lang w:val="nl-BE"/>
        </w:rPr>
        <w:t xml:space="preserve"> 2010, p. 131.</w:t>
      </w:r>
    </w:p>
  </w:footnote>
  <w:footnote w:id="11">
    <w:p w:rsidR="00E85B6B" w:rsidRPr="00F67F37" w:rsidRDefault="00E85B6B" w:rsidP="00292174">
      <w:pPr>
        <w:pStyle w:val="Notedebasdepage"/>
        <w:rPr>
          <w:sz w:val="18"/>
          <w:szCs w:val="18"/>
          <w:lang w:val="nl-BE"/>
        </w:rPr>
      </w:pPr>
      <w:r w:rsidRPr="00D37572">
        <w:rPr>
          <w:rStyle w:val="Appelnotedebasdep"/>
          <w:rFonts w:eastAsiaTheme="majorEastAsia"/>
          <w:sz w:val="18"/>
          <w:szCs w:val="18"/>
        </w:rPr>
        <w:footnoteRef/>
      </w:r>
      <w:r w:rsidRPr="00F67F37">
        <w:rPr>
          <w:sz w:val="18"/>
          <w:szCs w:val="18"/>
          <w:lang w:val="nl-BE"/>
        </w:rPr>
        <w:t xml:space="preserve"> Arbeidshof Antwerpen, 21/11/2011.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09F4"/>
    <w:multiLevelType w:val="hybridMultilevel"/>
    <w:tmpl w:val="16A40D7C"/>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6A04C24"/>
    <w:multiLevelType w:val="hybridMultilevel"/>
    <w:tmpl w:val="E412274A"/>
    <w:lvl w:ilvl="0" w:tplc="5624FD32">
      <w:numFmt w:val="bullet"/>
      <w:lvlText w:val="-"/>
      <w:lvlJc w:val="left"/>
      <w:pPr>
        <w:tabs>
          <w:tab w:val="num" w:pos="480"/>
        </w:tabs>
        <w:ind w:left="480" w:hanging="360"/>
      </w:pPr>
      <w:rPr>
        <w:rFonts w:ascii="Calibri" w:eastAsia="Goudy ExtraBold" w:hAnsi="Calibri" w:cs="Goudy ExtraBold" w:hint="default"/>
      </w:rPr>
    </w:lvl>
    <w:lvl w:ilvl="1" w:tplc="0809000F">
      <w:start w:val="1"/>
      <w:numFmt w:val="decimal"/>
      <w:lvlText w:val="%2."/>
      <w:lvlJc w:val="left"/>
      <w:pPr>
        <w:tabs>
          <w:tab w:val="num" w:pos="1440"/>
        </w:tabs>
        <w:ind w:left="1440" w:hanging="360"/>
      </w:pPr>
      <w:rPr>
        <w:rFonts w:hint="default"/>
      </w:rPr>
    </w:lvl>
    <w:lvl w:ilvl="2" w:tplc="5624FD32">
      <w:numFmt w:val="bullet"/>
      <w:lvlText w:val="-"/>
      <w:lvlJc w:val="left"/>
      <w:pPr>
        <w:tabs>
          <w:tab w:val="num" w:pos="2160"/>
        </w:tabs>
        <w:ind w:left="2160" w:hanging="360"/>
      </w:pPr>
      <w:rPr>
        <w:rFonts w:ascii="Calibri" w:eastAsia="Goudy ExtraBold" w:hAnsi="Calibri" w:cs="Goudy ExtraBold"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B622F24"/>
    <w:multiLevelType w:val="hybridMultilevel"/>
    <w:tmpl w:val="828E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EF17A7"/>
    <w:multiLevelType w:val="hybridMultilevel"/>
    <w:tmpl w:val="19A8C29A"/>
    <w:lvl w:ilvl="0" w:tplc="3E7681BA">
      <w:start w:val="1"/>
      <w:numFmt w:val="decimal"/>
      <w:lvlText w:val="%1."/>
      <w:lvlJc w:val="left"/>
      <w:pPr>
        <w:ind w:left="720" w:hanging="360"/>
      </w:pPr>
      <w:rPr>
        <w:lang w:val="nl-B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896A1B"/>
    <w:multiLevelType w:val="hybridMultilevel"/>
    <w:tmpl w:val="A18A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4F63DB"/>
    <w:multiLevelType w:val="hybridMultilevel"/>
    <w:tmpl w:val="4BBA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EC6DA5"/>
    <w:multiLevelType w:val="hybridMultilevel"/>
    <w:tmpl w:val="31A8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E92C91"/>
    <w:multiLevelType w:val="hybridMultilevel"/>
    <w:tmpl w:val="C2F6FB5E"/>
    <w:lvl w:ilvl="0" w:tplc="117AB77C">
      <w:start w:val="1"/>
      <w:numFmt w:val="bullet"/>
      <w:lvlText w:val=""/>
      <w:lvlJc w:val="left"/>
      <w:pPr>
        <w:ind w:left="720" w:hanging="360"/>
      </w:pPr>
      <w:rPr>
        <w:rFonts w:ascii="Symbol" w:hAnsi="Symbol" w:hint="default"/>
        <w:lang w:val="nl-B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2C05C4"/>
    <w:multiLevelType w:val="hybridMultilevel"/>
    <w:tmpl w:val="C2B08CD8"/>
    <w:lvl w:ilvl="0" w:tplc="60A402BE">
      <w:start w:val="1"/>
      <w:numFmt w:val="decimal"/>
      <w:lvlText w:val="%1)"/>
      <w:lvlJc w:val="left"/>
      <w:pPr>
        <w:tabs>
          <w:tab w:val="num" w:pos="720"/>
        </w:tabs>
        <w:ind w:left="720" w:hanging="360"/>
      </w:pPr>
      <w:rPr>
        <w:rFonts w:ascii="Calibri" w:hAnsi="Calibri"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4"/>
  </w:num>
  <w:num w:numId="4">
    <w:abstractNumId w:val="6"/>
  </w:num>
  <w:num w:numId="5">
    <w:abstractNumId w:val="5"/>
  </w:num>
  <w:num w:numId="6">
    <w:abstractNumId w:val="2"/>
  </w:num>
  <w:num w:numId="7">
    <w:abstractNumId w:val="7"/>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w_prof" w:val="@default@"/>
  </w:docVars>
  <w:rsids>
    <w:rsidRoot w:val="00292174"/>
    <w:rsid w:val="00000D89"/>
    <w:rsid w:val="000157D8"/>
    <w:rsid w:val="00022E93"/>
    <w:rsid w:val="00077E82"/>
    <w:rsid w:val="000806DF"/>
    <w:rsid w:val="000959D4"/>
    <w:rsid w:val="000C63F1"/>
    <w:rsid w:val="000D432D"/>
    <w:rsid w:val="00107085"/>
    <w:rsid w:val="0010763A"/>
    <w:rsid w:val="00114C46"/>
    <w:rsid w:val="0015626A"/>
    <w:rsid w:val="001B3C28"/>
    <w:rsid w:val="001E65AC"/>
    <w:rsid w:val="00200A19"/>
    <w:rsid w:val="00203EF6"/>
    <w:rsid w:val="00276D9F"/>
    <w:rsid w:val="00292174"/>
    <w:rsid w:val="002E09B5"/>
    <w:rsid w:val="002F74D2"/>
    <w:rsid w:val="00306874"/>
    <w:rsid w:val="00367AE2"/>
    <w:rsid w:val="00396F40"/>
    <w:rsid w:val="003A234E"/>
    <w:rsid w:val="003C389F"/>
    <w:rsid w:val="003D35CE"/>
    <w:rsid w:val="003D76D3"/>
    <w:rsid w:val="00403099"/>
    <w:rsid w:val="00443D66"/>
    <w:rsid w:val="00454DB7"/>
    <w:rsid w:val="00455742"/>
    <w:rsid w:val="004717D0"/>
    <w:rsid w:val="00480171"/>
    <w:rsid w:val="0049660A"/>
    <w:rsid w:val="004A17D1"/>
    <w:rsid w:val="004F5D37"/>
    <w:rsid w:val="0050704E"/>
    <w:rsid w:val="00526DC9"/>
    <w:rsid w:val="0053292A"/>
    <w:rsid w:val="0054613A"/>
    <w:rsid w:val="00575DD6"/>
    <w:rsid w:val="005D5D90"/>
    <w:rsid w:val="005E160B"/>
    <w:rsid w:val="006148DB"/>
    <w:rsid w:val="00620A15"/>
    <w:rsid w:val="00622C25"/>
    <w:rsid w:val="0067208A"/>
    <w:rsid w:val="006734FF"/>
    <w:rsid w:val="006A6A62"/>
    <w:rsid w:val="006B7D7F"/>
    <w:rsid w:val="006D1254"/>
    <w:rsid w:val="006E01F8"/>
    <w:rsid w:val="006F4643"/>
    <w:rsid w:val="00702A3F"/>
    <w:rsid w:val="007125A1"/>
    <w:rsid w:val="007261CB"/>
    <w:rsid w:val="0074055C"/>
    <w:rsid w:val="0081391F"/>
    <w:rsid w:val="00885BF5"/>
    <w:rsid w:val="008C7804"/>
    <w:rsid w:val="008E6228"/>
    <w:rsid w:val="008E688F"/>
    <w:rsid w:val="00924EB5"/>
    <w:rsid w:val="009805C6"/>
    <w:rsid w:val="00993BFE"/>
    <w:rsid w:val="009C1AA4"/>
    <w:rsid w:val="009C24D4"/>
    <w:rsid w:val="009E4CE1"/>
    <w:rsid w:val="00A120DF"/>
    <w:rsid w:val="00A36316"/>
    <w:rsid w:val="00A44D4E"/>
    <w:rsid w:val="00A85ABC"/>
    <w:rsid w:val="00A90406"/>
    <w:rsid w:val="00B06D80"/>
    <w:rsid w:val="00B140BF"/>
    <w:rsid w:val="00B41AA3"/>
    <w:rsid w:val="00B74169"/>
    <w:rsid w:val="00BF79D6"/>
    <w:rsid w:val="00C016DA"/>
    <w:rsid w:val="00C056B5"/>
    <w:rsid w:val="00C12465"/>
    <w:rsid w:val="00CA2360"/>
    <w:rsid w:val="00CE0470"/>
    <w:rsid w:val="00CE6F3D"/>
    <w:rsid w:val="00CF3AFB"/>
    <w:rsid w:val="00D16951"/>
    <w:rsid w:val="00D9489A"/>
    <w:rsid w:val="00D96D90"/>
    <w:rsid w:val="00DA1682"/>
    <w:rsid w:val="00DE253B"/>
    <w:rsid w:val="00DF05E2"/>
    <w:rsid w:val="00DF29C3"/>
    <w:rsid w:val="00E04D44"/>
    <w:rsid w:val="00E27648"/>
    <w:rsid w:val="00E3244D"/>
    <w:rsid w:val="00E75EED"/>
    <w:rsid w:val="00E85B6B"/>
    <w:rsid w:val="00EA042B"/>
    <w:rsid w:val="00EB049D"/>
    <w:rsid w:val="00EC19AE"/>
    <w:rsid w:val="00F203D4"/>
    <w:rsid w:val="00F42546"/>
    <w:rsid w:val="00F4506A"/>
    <w:rsid w:val="00F70806"/>
    <w:rsid w:val="00F77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74"/>
    <w:pPr>
      <w:spacing w:after="0" w:line="240" w:lineRule="auto"/>
    </w:pPr>
    <w:rPr>
      <w:rFonts w:ascii="Times New Roman" w:eastAsia="Times New Roman" w:hAnsi="Times New Roman" w:cs="Times New Roman"/>
      <w:sz w:val="24"/>
      <w:szCs w:val="24"/>
      <w:lang w:eastAsia="en-GB"/>
    </w:rPr>
  </w:style>
  <w:style w:type="paragraph" w:styleId="Titre1">
    <w:name w:val="heading 1"/>
    <w:basedOn w:val="Normal"/>
    <w:next w:val="Normal"/>
    <w:link w:val="Titre1Car"/>
    <w:qFormat/>
    <w:rsid w:val="008E68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E68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8E688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character" w:styleId="Lienhypertexte">
    <w:name w:val="Hyperlink"/>
    <w:semiHidden/>
    <w:rsid w:val="00292174"/>
    <w:rPr>
      <w:color w:val="0000FF"/>
      <w:u w:val="single"/>
    </w:rPr>
  </w:style>
  <w:style w:type="paragraph" w:styleId="Notedebasdepage">
    <w:name w:val="footnote text"/>
    <w:basedOn w:val="Normal"/>
    <w:link w:val="NotedebasdepageCar"/>
    <w:semiHidden/>
    <w:rsid w:val="00292174"/>
    <w:rPr>
      <w:rFonts w:ascii="Verdana" w:hAnsi="Verdana"/>
      <w:sz w:val="20"/>
      <w:szCs w:val="20"/>
      <w:lang w:val="fr-BE"/>
    </w:rPr>
  </w:style>
  <w:style w:type="character" w:customStyle="1" w:styleId="NotedebasdepageCar">
    <w:name w:val="Note de bas de page Car"/>
    <w:basedOn w:val="Policepardfaut"/>
    <w:link w:val="Notedebasdepage"/>
    <w:semiHidden/>
    <w:rsid w:val="00292174"/>
    <w:rPr>
      <w:rFonts w:ascii="Verdana" w:eastAsia="Times New Roman" w:hAnsi="Verdana" w:cs="Times New Roman"/>
      <w:sz w:val="20"/>
      <w:szCs w:val="20"/>
      <w:lang w:val="fr-BE" w:eastAsia="en-GB"/>
    </w:rPr>
  </w:style>
  <w:style w:type="character" w:styleId="Appelnotedebasdep">
    <w:name w:val="footnote reference"/>
    <w:semiHidden/>
    <w:rsid w:val="00292174"/>
    <w:rPr>
      <w:vertAlign w:val="superscript"/>
    </w:rPr>
  </w:style>
  <w:style w:type="character" w:styleId="Marquedecommentaire">
    <w:name w:val="annotation reference"/>
    <w:semiHidden/>
    <w:rsid w:val="00292174"/>
    <w:rPr>
      <w:sz w:val="16"/>
      <w:szCs w:val="16"/>
    </w:rPr>
  </w:style>
  <w:style w:type="paragraph" w:styleId="Commentaire">
    <w:name w:val="annotation text"/>
    <w:basedOn w:val="Normal"/>
    <w:link w:val="CommentaireCar"/>
    <w:semiHidden/>
    <w:rsid w:val="00292174"/>
    <w:rPr>
      <w:sz w:val="20"/>
      <w:szCs w:val="20"/>
    </w:rPr>
  </w:style>
  <w:style w:type="character" w:customStyle="1" w:styleId="CommentaireCar">
    <w:name w:val="Commentaire Car"/>
    <w:basedOn w:val="Policepardfaut"/>
    <w:link w:val="Commentaire"/>
    <w:semiHidden/>
    <w:rsid w:val="00292174"/>
    <w:rPr>
      <w:rFonts w:ascii="Times New Roman" w:eastAsia="Times New Roman" w:hAnsi="Times New Roman" w:cs="Times New Roman"/>
      <w:sz w:val="20"/>
      <w:szCs w:val="20"/>
      <w:lang w:eastAsia="en-GB"/>
    </w:rPr>
  </w:style>
  <w:style w:type="paragraph" w:styleId="Notedefin">
    <w:name w:val="endnote text"/>
    <w:basedOn w:val="Normal"/>
    <w:link w:val="NotedefinCar"/>
    <w:semiHidden/>
    <w:rsid w:val="00292174"/>
    <w:pPr>
      <w:spacing w:line="480" w:lineRule="auto"/>
    </w:pPr>
    <w:rPr>
      <w:sz w:val="20"/>
      <w:szCs w:val="20"/>
      <w:lang w:val="nl-NL"/>
    </w:rPr>
  </w:style>
  <w:style w:type="character" w:customStyle="1" w:styleId="NotedefinCar">
    <w:name w:val="Note de fin Car"/>
    <w:basedOn w:val="Policepardfaut"/>
    <w:link w:val="Notedefin"/>
    <w:semiHidden/>
    <w:rsid w:val="00292174"/>
    <w:rPr>
      <w:rFonts w:ascii="Times New Roman" w:eastAsia="Times New Roman" w:hAnsi="Times New Roman" w:cs="Times New Roman"/>
      <w:sz w:val="20"/>
      <w:szCs w:val="20"/>
      <w:lang w:val="nl-NL" w:eastAsia="en-GB"/>
    </w:rPr>
  </w:style>
  <w:style w:type="character" w:styleId="Appeldenotedefin">
    <w:name w:val="endnote reference"/>
    <w:semiHidden/>
    <w:rsid w:val="00292174"/>
    <w:rPr>
      <w:vertAlign w:val="superscript"/>
    </w:rPr>
  </w:style>
  <w:style w:type="character" w:styleId="lev">
    <w:name w:val="Strong"/>
    <w:qFormat/>
    <w:rsid w:val="00292174"/>
    <w:rPr>
      <w:rFonts w:cs="Times New Roman"/>
      <w:b/>
      <w:bCs/>
    </w:rPr>
  </w:style>
  <w:style w:type="paragraph" w:styleId="Textedebulles">
    <w:name w:val="Balloon Text"/>
    <w:basedOn w:val="Normal"/>
    <w:link w:val="TextedebullesCar"/>
    <w:uiPriority w:val="99"/>
    <w:semiHidden/>
    <w:unhideWhenUsed/>
    <w:rsid w:val="00292174"/>
    <w:rPr>
      <w:rFonts w:ascii="Tahoma" w:hAnsi="Tahoma" w:cs="Tahoma"/>
      <w:sz w:val="16"/>
      <w:szCs w:val="16"/>
    </w:rPr>
  </w:style>
  <w:style w:type="character" w:customStyle="1" w:styleId="TextedebullesCar">
    <w:name w:val="Texte de bulles Car"/>
    <w:basedOn w:val="Policepardfaut"/>
    <w:link w:val="Textedebulles"/>
    <w:uiPriority w:val="99"/>
    <w:semiHidden/>
    <w:rsid w:val="00292174"/>
    <w:rPr>
      <w:rFonts w:ascii="Tahoma" w:eastAsia="Times New Roman" w:hAnsi="Tahoma" w:cs="Tahoma"/>
      <w:sz w:val="16"/>
      <w:szCs w:val="16"/>
      <w:lang w:eastAsia="en-GB"/>
    </w:rPr>
  </w:style>
  <w:style w:type="paragraph" w:styleId="Objetducommentaire">
    <w:name w:val="annotation subject"/>
    <w:basedOn w:val="Commentaire"/>
    <w:next w:val="Commentaire"/>
    <w:link w:val="ObjetducommentaireCar"/>
    <w:uiPriority w:val="99"/>
    <w:semiHidden/>
    <w:unhideWhenUsed/>
    <w:rsid w:val="00924EB5"/>
    <w:rPr>
      <w:b/>
      <w:bCs/>
    </w:rPr>
  </w:style>
  <w:style w:type="character" w:customStyle="1" w:styleId="ObjetducommentaireCar">
    <w:name w:val="Objet du commentaire Car"/>
    <w:basedOn w:val="CommentaireCar"/>
    <w:link w:val="Objetducommentaire"/>
    <w:uiPriority w:val="99"/>
    <w:semiHidden/>
    <w:rsid w:val="00924EB5"/>
    <w:rPr>
      <w:rFonts w:ascii="Times New Roman" w:eastAsia="Times New Roman" w:hAnsi="Times New Roman" w:cs="Times New Roman"/>
      <w:b/>
      <w:bCs/>
      <w:sz w:val="20"/>
      <w:szCs w:val="20"/>
      <w:lang w:eastAsia="en-GB"/>
    </w:rPr>
  </w:style>
  <w:style w:type="paragraph" w:styleId="Paragraphedeliste">
    <w:name w:val="List Paragraph"/>
    <w:basedOn w:val="Normal"/>
    <w:uiPriority w:val="34"/>
    <w:qFormat/>
    <w:rsid w:val="00EC19AE"/>
    <w:pPr>
      <w:ind w:left="720"/>
      <w:contextualSpacing/>
    </w:pPr>
  </w:style>
  <w:style w:type="character" w:styleId="Lienhypertextesuivivisit">
    <w:name w:val="FollowedHyperlink"/>
    <w:basedOn w:val="Policepardfaut"/>
    <w:uiPriority w:val="99"/>
    <w:semiHidden/>
    <w:unhideWhenUsed/>
    <w:rsid w:val="006A6A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74"/>
    <w:pPr>
      <w:spacing w:after="0" w:line="240" w:lineRule="auto"/>
    </w:pPr>
    <w:rPr>
      <w:rFonts w:ascii="Times New Roman" w:eastAsia="Times New Roman" w:hAnsi="Times New Roman" w:cs="Times New Roman"/>
      <w:sz w:val="24"/>
      <w:szCs w:val="24"/>
      <w:lang w:eastAsia="en-GB"/>
    </w:rPr>
  </w:style>
  <w:style w:type="paragraph" w:styleId="Titre1">
    <w:name w:val="heading 1"/>
    <w:basedOn w:val="Normal"/>
    <w:next w:val="Normal"/>
    <w:link w:val="Titre1Car"/>
    <w:qFormat/>
    <w:rsid w:val="008E68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E68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8E688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character" w:styleId="Lienhypertexte">
    <w:name w:val="Hyperlink"/>
    <w:semiHidden/>
    <w:rsid w:val="00292174"/>
    <w:rPr>
      <w:color w:val="0000FF"/>
      <w:u w:val="single"/>
    </w:rPr>
  </w:style>
  <w:style w:type="paragraph" w:styleId="Notedebasdepage">
    <w:name w:val="footnote text"/>
    <w:basedOn w:val="Normal"/>
    <w:link w:val="NotedebasdepageCar"/>
    <w:semiHidden/>
    <w:rsid w:val="00292174"/>
    <w:rPr>
      <w:rFonts w:ascii="Verdana" w:hAnsi="Verdana"/>
      <w:sz w:val="20"/>
      <w:szCs w:val="20"/>
      <w:lang w:val="fr-BE"/>
    </w:rPr>
  </w:style>
  <w:style w:type="character" w:customStyle="1" w:styleId="NotedebasdepageCar">
    <w:name w:val="Note de bas de page Car"/>
    <w:basedOn w:val="Policepardfaut"/>
    <w:link w:val="Notedebasdepage"/>
    <w:semiHidden/>
    <w:rsid w:val="00292174"/>
    <w:rPr>
      <w:rFonts w:ascii="Verdana" w:eastAsia="Times New Roman" w:hAnsi="Verdana" w:cs="Times New Roman"/>
      <w:sz w:val="20"/>
      <w:szCs w:val="20"/>
      <w:lang w:val="fr-BE" w:eastAsia="en-GB"/>
    </w:rPr>
  </w:style>
  <w:style w:type="character" w:styleId="Appelnotedebasdep">
    <w:name w:val="footnote reference"/>
    <w:semiHidden/>
    <w:rsid w:val="00292174"/>
    <w:rPr>
      <w:vertAlign w:val="superscript"/>
    </w:rPr>
  </w:style>
  <w:style w:type="character" w:styleId="Marquedecommentaire">
    <w:name w:val="annotation reference"/>
    <w:semiHidden/>
    <w:rsid w:val="00292174"/>
    <w:rPr>
      <w:sz w:val="16"/>
      <w:szCs w:val="16"/>
    </w:rPr>
  </w:style>
  <w:style w:type="paragraph" w:styleId="Commentaire">
    <w:name w:val="annotation text"/>
    <w:basedOn w:val="Normal"/>
    <w:link w:val="CommentaireCar"/>
    <w:semiHidden/>
    <w:rsid w:val="00292174"/>
    <w:rPr>
      <w:sz w:val="20"/>
      <w:szCs w:val="20"/>
    </w:rPr>
  </w:style>
  <w:style w:type="character" w:customStyle="1" w:styleId="CommentaireCar">
    <w:name w:val="Commentaire Car"/>
    <w:basedOn w:val="Policepardfaut"/>
    <w:link w:val="Commentaire"/>
    <w:semiHidden/>
    <w:rsid w:val="00292174"/>
    <w:rPr>
      <w:rFonts w:ascii="Times New Roman" w:eastAsia="Times New Roman" w:hAnsi="Times New Roman" w:cs="Times New Roman"/>
      <w:sz w:val="20"/>
      <w:szCs w:val="20"/>
      <w:lang w:eastAsia="en-GB"/>
    </w:rPr>
  </w:style>
  <w:style w:type="paragraph" w:styleId="Notedefin">
    <w:name w:val="endnote text"/>
    <w:basedOn w:val="Normal"/>
    <w:link w:val="NotedefinCar"/>
    <w:semiHidden/>
    <w:rsid w:val="00292174"/>
    <w:pPr>
      <w:spacing w:line="480" w:lineRule="auto"/>
    </w:pPr>
    <w:rPr>
      <w:sz w:val="20"/>
      <w:szCs w:val="20"/>
      <w:lang w:val="nl-NL"/>
    </w:rPr>
  </w:style>
  <w:style w:type="character" w:customStyle="1" w:styleId="NotedefinCar">
    <w:name w:val="Note de fin Car"/>
    <w:basedOn w:val="Policepardfaut"/>
    <w:link w:val="Notedefin"/>
    <w:semiHidden/>
    <w:rsid w:val="00292174"/>
    <w:rPr>
      <w:rFonts w:ascii="Times New Roman" w:eastAsia="Times New Roman" w:hAnsi="Times New Roman" w:cs="Times New Roman"/>
      <w:sz w:val="20"/>
      <w:szCs w:val="20"/>
      <w:lang w:val="nl-NL" w:eastAsia="en-GB"/>
    </w:rPr>
  </w:style>
  <w:style w:type="character" w:styleId="Appeldenotedefin">
    <w:name w:val="endnote reference"/>
    <w:semiHidden/>
    <w:rsid w:val="00292174"/>
    <w:rPr>
      <w:vertAlign w:val="superscript"/>
    </w:rPr>
  </w:style>
  <w:style w:type="character" w:styleId="lev">
    <w:name w:val="Strong"/>
    <w:qFormat/>
    <w:rsid w:val="00292174"/>
    <w:rPr>
      <w:rFonts w:cs="Times New Roman"/>
      <w:b/>
      <w:bCs/>
    </w:rPr>
  </w:style>
  <w:style w:type="paragraph" w:styleId="Textedebulles">
    <w:name w:val="Balloon Text"/>
    <w:basedOn w:val="Normal"/>
    <w:link w:val="TextedebullesCar"/>
    <w:uiPriority w:val="99"/>
    <w:semiHidden/>
    <w:unhideWhenUsed/>
    <w:rsid w:val="00292174"/>
    <w:rPr>
      <w:rFonts w:ascii="Tahoma" w:hAnsi="Tahoma" w:cs="Tahoma"/>
      <w:sz w:val="16"/>
      <w:szCs w:val="16"/>
    </w:rPr>
  </w:style>
  <w:style w:type="character" w:customStyle="1" w:styleId="TextedebullesCar">
    <w:name w:val="Texte de bulles Car"/>
    <w:basedOn w:val="Policepardfaut"/>
    <w:link w:val="Textedebulles"/>
    <w:uiPriority w:val="99"/>
    <w:semiHidden/>
    <w:rsid w:val="00292174"/>
    <w:rPr>
      <w:rFonts w:ascii="Tahoma" w:eastAsia="Times New Roman" w:hAnsi="Tahoma" w:cs="Tahoma"/>
      <w:sz w:val="16"/>
      <w:szCs w:val="16"/>
      <w:lang w:eastAsia="en-GB"/>
    </w:rPr>
  </w:style>
  <w:style w:type="paragraph" w:styleId="Objetducommentaire">
    <w:name w:val="annotation subject"/>
    <w:basedOn w:val="Commentaire"/>
    <w:next w:val="Commentaire"/>
    <w:link w:val="ObjetducommentaireCar"/>
    <w:uiPriority w:val="99"/>
    <w:semiHidden/>
    <w:unhideWhenUsed/>
    <w:rsid w:val="00924EB5"/>
    <w:rPr>
      <w:b/>
      <w:bCs/>
    </w:rPr>
  </w:style>
  <w:style w:type="character" w:customStyle="1" w:styleId="ObjetducommentaireCar">
    <w:name w:val="Objet du commentaire Car"/>
    <w:basedOn w:val="CommentaireCar"/>
    <w:link w:val="Objetducommentaire"/>
    <w:uiPriority w:val="99"/>
    <w:semiHidden/>
    <w:rsid w:val="00924EB5"/>
    <w:rPr>
      <w:rFonts w:ascii="Times New Roman" w:eastAsia="Times New Roman" w:hAnsi="Times New Roman" w:cs="Times New Roman"/>
      <w:b/>
      <w:bCs/>
      <w:sz w:val="20"/>
      <w:szCs w:val="20"/>
      <w:lang w:eastAsia="en-GB"/>
    </w:rPr>
  </w:style>
  <w:style w:type="paragraph" w:styleId="Paragraphedeliste">
    <w:name w:val="List Paragraph"/>
    <w:basedOn w:val="Normal"/>
    <w:uiPriority w:val="34"/>
    <w:qFormat/>
    <w:rsid w:val="00EC19AE"/>
    <w:pPr>
      <w:ind w:left="720"/>
      <w:contextualSpacing/>
    </w:pPr>
  </w:style>
  <w:style w:type="character" w:styleId="Lienhypertextesuivivisit">
    <w:name w:val="FollowedHyperlink"/>
    <w:basedOn w:val="Policepardfaut"/>
    <w:uiPriority w:val="99"/>
    <w:semiHidden/>
    <w:unhideWhenUsed/>
    <w:rsid w:val="006A6A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30968">
      <w:bodyDiv w:val="1"/>
      <w:marLeft w:val="0"/>
      <w:marRight w:val="0"/>
      <w:marTop w:val="0"/>
      <w:marBottom w:val="0"/>
      <w:divBdr>
        <w:top w:val="none" w:sz="0" w:space="0" w:color="auto"/>
        <w:left w:val="none" w:sz="0" w:space="0" w:color="auto"/>
        <w:bottom w:val="none" w:sz="0" w:space="0" w:color="auto"/>
        <w:right w:val="none" w:sz="0" w:space="0" w:color="auto"/>
      </w:divBdr>
    </w:div>
    <w:div w:id="709114751">
      <w:bodyDiv w:val="1"/>
      <w:marLeft w:val="0"/>
      <w:marRight w:val="0"/>
      <w:marTop w:val="0"/>
      <w:marBottom w:val="0"/>
      <w:divBdr>
        <w:top w:val="none" w:sz="0" w:space="0" w:color="auto"/>
        <w:left w:val="none" w:sz="0" w:space="0" w:color="auto"/>
        <w:bottom w:val="none" w:sz="0" w:space="0" w:color="auto"/>
        <w:right w:val="none" w:sz="0" w:space="0" w:color="auto"/>
      </w:divBdr>
    </w:div>
    <w:div w:id="1830712637">
      <w:bodyDiv w:val="1"/>
      <w:marLeft w:val="0"/>
      <w:marRight w:val="0"/>
      <w:marTop w:val="0"/>
      <w:marBottom w:val="0"/>
      <w:divBdr>
        <w:top w:val="none" w:sz="0" w:space="0" w:color="auto"/>
        <w:left w:val="none" w:sz="0" w:space="0" w:color="auto"/>
        <w:bottom w:val="none" w:sz="0" w:space="0" w:color="auto"/>
        <w:right w:val="none" w:sz="0" w:space="0" w:color="auto"/>
      </w:divBdr>
    </w:div>
    <w:div w:id="1868443417">
      <w:bodyDiv w:val="1"/>
      <w:marLeft w:val="0"/>
      <w:marRight w:val="0"/>
      <w:marTop w:val="0"/>
      <w:marBottom w:val="0"/>
      <w:divBdr>
        <w:top w:val="none" w:sz="0" w:space="0" w:color="auto"/>
        <w:left w:val="none" w:sz="0" w:space="0" w:color="auto"/>
        <w:bottom w:val="none" w:sz="0" w:space="0" w:color="auto"/>
        <w:right w:val="none" w:sz="0" w:space="0" w:color="auto"/>
      </w:divBdr>
    </w:div>
    <w:div w:id="200149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iversiteit.be/?action=wetgeving_detail&amp;id=23&amp;select_page=12&amp;select_page=12&amp;setLanguage=1" TargetMode="External"/><Relationship Id="rId2" Type="http://schemas.openxmlformats.org/officeDocument/2006/relationships/hyperlink" Target="http://www.diversiteit.be/?action=onderdeel&amp;onderdeel=189&amp;titel=Photographie+des+l%C3&amp;setLanguage=1" TargetMode="External"/><Relationship Id="rId1" Type="http://schemas.openxmlformats.org/officeDocument/2006/relationships/hyperlink" Target="http://www.diversiteit.be/?action=onderdeel&amp;onderdeel=189&amp;titel=Photographie+des+l%C3%A9gislations+antidiscrimination&amp;setLanguage=1" TargetMode="External"/><Relationship Id="rId5" Type="http://schemas.openxmlformats.org/officeDocument/2006/relationships/hyperlink" Target="http://www.diversiteit.be/?action=publicatie_detail&amp;id=161&amp;thema=2&amp;select_page=216&amp;setLanguage=1" TargetMode="External"/><Relationship Id="rId4" Type="http://schemas.openxmlformats.org/officeDocument/2006/relationships/hyperlink" Target="http://www.diversiteit.be/?action=onderdeel&amp;onderdeel=50&amp;titel=Links&amp;setLanguage=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DB19A-1B85-4D10-A46D-EE8BD51D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2257</Words>
  <Characters>12869</Characters>
  <Application>Microsoft Office Word</Application>
  <DocSecurity>4</DocSecurity>
  <Lines>107</Lines>
  <Paragraphs>30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Sociale Zekerheid / SPF Sécurité Sociale</Company>
  <LinksUpToDate>false</LinksUpToDate>
  <CharactersWithSpaces>15096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2</cp:revision>
  <cp:lastPrinted>2013-03-01T08:26:00Z</cp:lastPrinted>
  <dcterms:created xsi:type="dcterms:W3CDTF">2013-06-10T09:47:00Z</dcterms:created>
  <dcterms:modified xsi:type="dcterms:W3CDTF">2013-06-10T09:47:00Z</dcterms:modified>
</cp:coreProperties>
</file>