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6DDD" w14:textId="77777777" w:rsidR="00695D7A" w:rsidRPr="007A403D" w:rsidRDefault="00695D7A" w:rsidP="002B0CA6">
      <w:pPr>
        <w:pBdr>
          <w:top w:val="single" w:sz="4" w:space="1" w:color="auto"/>
          <w:left w:val="single" w:sz="4" w:space="4" w:color="auto"/>
          <w:bottom w:val="single" w:sz="4" w:space="1" w:color="auto"/>
          <w:right w:val="single" w:sz="4" w:space="4" w:color="auto"/>
        </w:pBdr>
        <w:jc w:val="center"/>
        <w:rPr>
          <w:rFonts w:cstheme="minorHAnsi"/>
          <w:b/>
          <w:bCs/>
          <w:lang w:val="nl-BE"/>
        </w:rPr>
      </w:pPr>
    </w:p>
    <w:p w14:paraId="5DFBBEF4" w14:textId="5F7A777A" w:rsidR="002B0CA6" w:rsidRPr="007A403D" w:rsidRDefault="002B0CA6" w:rsidP="002B0CA6">
      <w:pPr>
        <w:pBdr>
          <w:top w:val="single" w:sz="4" w:space="1" w:color="auto"/>
          <w:left w:val="single" w:sz="4" w:space="4" w:color="auto"/>
          <w:bottom w:val="single" w:sz="4" w:space="1" w:color="auto"/>
          <w:right w:val="single" w:sz="4" w:space="4" w:color="auto"/>
        </w:pBdr>
        <w:jc w:val="center"/>
        <w:rPr>
          <w:rFonts w:cstheme="minorHAnsi"/>
          <w:b/>
          <w:bCs/>
          <w:lang w:val="nl-BE"/>
        </w:rPr>
      </w:pPr>
      <w:r w:rsidRPr="007A403D">
        <w:rPr>
          <w:rFonts w:cstheme="minorHAnsi"/>
          <w:b/>
          <w:bCs/>
          <w:lang w:val="nl-BE"/>
        </w:rPr>
        <w:t xml:space="preserve">Fiche </w:t>
      </w:r>
      <w:r w:rsidR="009A6361" w:rsidRPr="007A403D">
        <w:rPr>
          <w:rFonts w:cstheme="minorHAnsi"/>
          <w:b/>
          <w:bCs/>
          <w:lang w:val="nl-BE"/>
        </w:rPr>
        <w:t>1</w:t>
      </w:r>
      <w:r w:rsidR="00F77A18" w:rsidRPr="007A403D">
        <w:rPr>
          <w:rFonts w:cstheme="minorHAnsi"/>
          <w:b/>
          <w:bCs/>
          <w:lang w:val="nl-BE"/>
        </w:rPr>
        <w:t xml:space="preserve">2: </w:t>
      </w:r>
      <w:r w:rsidR="00F77A18" w:rsidRPr="007A403D">
        <w:rPr>
          <w:rFonts w:cstheme="minorHAnsi"/>
          <w:b/>
          <w:bCs/>
          <w:lang w:val="nl-NL"/>
        </w:rPr>
        <w:t>Vrijheid van uitbuiting, geweld en misbruik</w:t>
      </w:r>
      <w:r w:rsidRPr="007A403D">
        <w:rPr>
          <w:rFonts w:cstheme="minorHAnsi"/>
          <w:b/>
          <w:bCs/>
          <w:lang w:val="nl-BE"/>
        </w:rPr>
        <w:t xml:space="preserve"> (</w:t>
      </w:r>
      <w:r w:rsidR="00110F83" w:rsidRPr="007A403D">
        <w:rPr>
          <w:rFonts w:cstheme="minorHAnsi"/>
          <w:b/>
          <w:bCs/>
          <w:lang w:val="nl-BE"/>
        </w:rPr>
        <w:t>A</w:t>
      </w:r>
      <w:r w:rsidRPr="007A403D">
        <w:rPr>
          <w:rFonts w:cstheme="minorHAnsi"/>
          <w:b/>
          <w:bCs/>
          <w:lang w:val="nl-BE"/>
        </w:rPr>
        <w:t xml:space="preserve">rt. </w:t>
      </w:r>
      <w:r w:rsidR="004418E7" w:rsidRPr="007A403D">
        <w:rPr>
          <w:rFonts w:cstheme="minorHAnsi"/>
          <w:b/>
          <w:bCs/>
          <w:lang w:val="nl-BE"/>
        </w:rPr>
        <w:t>1</w:t>
      </w:r>
      <w:r w:rsidR="00F77A18" w:rsidRPr="007A403D">
        <w:rPr>
          <w:rFonts w:cstheme="minorHAnsi"/>
          <w:b/>
          <w:bCs/>
          <w:lang w:val="nl-BE"/>
        </w:rPr>
        <w:t>6</w:t>
      </w:r>
      <w:r w:rsidRPr="007A403D">
        <w:rPr>
          <w:rFonts w:cstheme="minorHAnsi"/>
          <w:b/>
          <w:bCs/>
          <w:lang w:val="nl-BE"/>
        </w:rPr>
        <w:t>)</w:t>
      </w:r>
    </w:p>
    <w:tbl>
      <w:tblPr>
        <w:tblStyle w:val="Grilledutableau"/>
        <w:tblW w:w="12996" w:type="dxa"/>
        <w:tblLook w:val="04A0" w:firstRow="1" w:lastRow="0" w:firstColumn="1" w:lastColumn="0" w:noHBand="0" w:noVBand="1"/>
      </w:tblPr>
      <w:tblGrid>
        <w:gridCol w:w="1413"/>
        <w:gridCol w:w="10144"/>
        <w:gridCol w:w="1439"/>
      </w:tblGrid>
      <w:tr w:rsidR="002B0CA6" w:rsidRPr="007A403D" w14:paraId="68C9BF91" w14:textId="77777777" w:rsidTr="00F77A18">
        <w:trPr>
          <w:trHeight w:val="347"/>
        </w:trPr>
        <w:tc>
          <w:tcPr>
            <w:tcW w:w="1413" w:type="dxa"/>
          </w:tcPr>
          <w:p w14:paraId="1DD97FD8" w14:textId="77777777" w:rsidR="002B0CA6" w:rsidRPr="007A403D" w:rsidRDefault="002B0CA6" w:rsidP="002B0CA6">
            <w:pPr>
              <w:jc w:val="center"/>
              <w:rPr>
                <w:rFonts w:cstheme="minorHAnsi"/>
                <w:b/>
                <w:bCs/>
                <w:lang w:val="fr-BE"/>
              </w:rPr>
            </w:pPr>
            <w:r w:rsidRPr="007A403D">
              <w:rPr>
                <w:rFonts w:cstheme="minorHAnsi"/>
                <w:b/>
                <w:bCs/>
                <w:lang w:val="fr-BE"/>
              </w:rPr>
              <w:t>N°</w:t>
            </w:r>
          </w:p>
        </w:tc>
        <w:tc>
          <w:tcPr>
            <w:tcW w:w="10144" w:type="dxa"/>
          </w:tcPr>
          <w:p w14:paraId="3C0A35D8" w14:textId="77777777" w:rsidR="002B0CA6" w:rsidRPr="007A403D" w:rsidRDefault="0089297C" w:rsidP="002B0CA6">
            <w:pPr>
              <w:jc w:val="center"/>
              <w:rPr>
                <w:rFonts w:cstheme="minorHAnsi"/>
                <w:b/>
                <w:bCs/>
                <w:lang w:val="fr-BE"/>
              </w:rPr>
            </w:pPr>
            <w:r w:rsidRPr="007A403D">
              <w:rPr>
                <w:rFonts w:cstheme="minorHAnsi"/>
                <w:b/>
                <w:bCs/>
                <w:lang w:val="fr-BE"/>
              </w:rPr>
              <w:t>Voor BDF alternatief verslag</w:t>
            </w:r>
          </w:p>
        </w:tc>
        <w:tc>
          <w:tcPr>
            <w:tcW w:w="1439" w:type="dxa"/>
          </w:tcPr>
          <w:p w14:paraId="6EC07808" w14:textId="77777777" w:rsidR="002B0CA6" w:rsidRPr="007A403D" w:rsidRDefault="0089297C" w:rsidP="002B0CA6">
            <w:pPr>
              <w:jc w:val="center"/>
              <w:rPr>
                <w:rFonts w:cstheme="minorHAnsi"/>
                <w:b/>
                <w:bCs/>
                <w:lang w:val="fr-BE"/>
              </w:rPr>
            </w:pPr>
            <w:r w:rsidRPr="007A403D">
              <w:rPr>
                <w:rFonts w:cstheme="minorHAnsi"/>
                <w:b/>
                <w:bCs/>
                <w:lang w:val="fr-BE"/>
              </w:rPr>
              <w:t>Origine</w:t>
            </w:r>
          </w:p>
        </w:tc>
      </w:tr>
      <w:tr w:rsidR="002B0CA6" w:rsidRPr="007A403D" w14:paraId="15D51493" w14:textId="77777777" w:rsidTr="00F77A18">
        <w:trPr>
          <w:trHeight w:val="532"/>
        </w:trPr>
        <w:tc>
          <w:tcPr>
            <w:tcW w:w="1413" w:type="dxa"/>
          </w:tcPr>
          <w:p w14:paraId="1EC716D6" w14:textId="59845518" w:rsidR="002B0CA6" w:rsidRPr="007A403D" w:rsidRDefault="002B0CA6" w:rsidP="002B0CA6">
            <w:pPr>
              <w:keepNext/>
              <w:keepLines/>
              <w:spacing w:before="240"/>
              <w:outlineLvl w:val="0"/>
              <w:rPr>
                <w:rFonts w:eastAsiaTheme="majorEastAsia" w:cstheme="minorHAnsi"/>
                <w:lang w:val="fr-CH"/>
              </w:rPr>
            </w:pPr>
            <w:r w:rsidRPr="007A403D">
              <w:rPr>
                <w:rFonts w:eastAsiaTheme="majorEastAsia" w:cstheme="minorHAnsi"/>
                <w:lang w:val="fr-CH"/>
              </w:rPr>
              <w:t>F</w:t>
            </w:r>
            <w:r w:rsidR="009A6361" w:rsidRPr="007A403D">
              <w:rPr>
                <w:rFonts w:eastAsiaTheme="majorEastAsia" w:cstheme="minorHAnsi"/>
                <w:lang w:val="fr-CH"/>
              </w:rPr>
              <w:t>1</w:t>
            </w:r>
            <w:r w:rsidR="00F77A18" w:rsidRPr="007A403D">
              <w:rPr>
                <w:rFonts w:eastAsiaTheme="majorEastAsia" w:cstheme="minorHAnsi"/>
                <w:lang w:val="fr-CH"/>
              </w:rPr>
              <w:t>2</w:t>
            </w:r>
            <w:r w:rsidRPr="007A403D">
              <w:rPr>
                <w:rFonts w:eastAsiaTheme="majorEastAsia" w:cstheme="minorHAnsi"/>
                <w:lang w:val="fr-CH"/>
              </w:rPr>
              <w:t xml:space="preserve"> </w:t>
            </w:r>
            <w:r w:rsidR="0089297C" w:rsidRPr="007A403D">
              <w:rPr>
                <w:rFonts w:eastAsiaTheme="majorEastAsia" w:cstheme="minorHAnsi"/>
                <w:lang w:val="fr-CH"/>
              </w:rPr>
              <w:t>V</w:t>
            </w:r>
            <w:r w:rsidR="002665AF" w:rsidRPr="007A403D">
              <w:rPr>
                <w:rFonts w:eastAsiaTheme="majorEastAsia" w:cstheme="minorHAnsi"/>
                <w:lang w:val="fr-CH"/>
              </w:rPr>
              <w:t>1</w:t>
            </w:r>
            <w:r w:rsidR="00F77A18" w:rsidRPr="007A403D">
              <w:rPr>
                <w:rFonts w:eastAsiaTheme="majorEastAsia" w:cstheme="minorHAnsi"/>
                <w:lang w:val="fr-CH"/>
              </w:rPr>
              <w:t>6</w:t>
            </w:r>
            <w:r w:rsidR="00EA424C" w:rsidRPr="007A403D">
              <w:rPr>
                <w:rFonts w:eastAsiaTheme="majorEastAsia" w:cstheme="minorHAnsi"/>
                <w:lang w:val="fr-CH"/>
              </w:rPr>
              <w:t xml:space="preserve"> </w:t>
            </w:r>
            <w:r w:rsidR="00F77A18" w:rsidRPr="007A403D">
              <w:rPr>
                <w:rFonts w:eastAsiaTheme="majorEastAsia" w:cstheme="minorHAnsi"/>
                <w:lang w:val="fr-CH"/>
              </w:rPr>
              <w:t>a)</w:t>
            </w:r>
          </w:p>
        </w:tc>
        <w:tc>
          <w:tcPr>
            <w:tcW w:w="10144" w:type="dxa"/>
          </w:tcPr>
          <w:p w14:paraId="7E445506" w14:textId="7D51C49A" w:rsidR="00DB2529" w:rsidRPr="007A403D" w:rsidRDefault="0089297C" w:rsidP="00F77A18">
            <w:pPr>
              <w:rPr>
                <w:rFonts w:cstheme="minorHAnsi"/>
                <w:lang w:val="nl-NL"/>
              </w:rPr>
            </w:pPr>
            <w:r w:rsidRPr="007A403D">
              <w:rPr>
                <w:rFonts w:eastAsiaTheme="majorEastAsia" w:cstheme="minorHAnsi"/>
                <w:b/>
                <w:bCs/>
                <w:u w:val="single"/>
                <w:lang w:val="nl-BE"/>
              </w:rPr>
              <w:t>Vraag</w:t>
            </w:r>
            <w:r w:rsidR="002B0CA6" w:rsidRPr="007A403D">
              <w:rPr>
                <w:rFonts w:eastAsiaTheme="majorEastAsia" w:cstheme="minorHAnsi"/>
                <w:b/>
                <w:bCs/>
                <w:u w:val="single"/>
                <w:lang w:val="nl-BE"/>
              </w:rPr>
              <w:t xml:space="preserve"> </w:t>
            </w:r>
            <w:r w:rsidR="004418E7" w:rsidRPr="007A403D">
              <w:rPr>
                <w:rFonts w:eastAsiaTheme="majorEastAsia" w:cstheme="minorHAnsi"/>
                <w:b/>
                <w:bCs/>
                <w:u w:val="single"/>
                <w:lang w:val="nl-BE"/>
              </w:rPr>
              <w:t>1</w:t>
            </w:r>
            <w:r w:rsidR="00F77A18" w:rsidRPr="007A403D">
              <w:rPr>
                <w:rFonts w:eastAsiaTheme="majorEastAsia" w:cstheme="minorHAnsi"/>
                <w:b/>
                <w:bCs/>
                <w:u w:val="single"/>
                <w:lang w:val="nl-BE"/>
              </w:rPr>
              <w:t>6</w:t>
            </w:r>
            <w:r w:rsidR="002B0CA6" w:rsidRPr="007A403D">
              <w:rPr>
                <w:rFonts w:eastAsiaTheme="majorEastAsia" w:cstheme="minorHAnsi"/>
                <w:u w:val="single"/>
                <w:lang w:val="nl-BE"/>
              </w:rPr>
              <w:t> :</w:t>
            </w:r>
            <w:r w:rsidR="009A6361" w:rsidRPr="007A403D">
              <w:rPr>
                <w:rFonts w:cstheme="minorHAnsi"/>
                <w:lang w:val="nl-NL"/>
              </w:rPr>
              <w:t xml:space="preserve"> </w:t>
            </w:r>
            <w:r w:rsidR="004D40A1" w:rsidRPr="007A403D">
              <w:rPr>
                <w:rFonts w:cstheme="minorHAnsi"/>
                <w:u w:val="single"/>
                <w:lang w:val="nl-NL"/>
              </w:rPr>
              <w:t>Gelieve informatie te verstrekken over:</w:t>
            </w:r>
          </w:p>
          <w:p w14:paraId="52D5B710" w14:textId="6BDCC510" w:rsidR="004D40A1" w:rsidRPr="007A403D" w:rsidRDefault="00F77A18" w:rsidP="004D40A1">
            <w:pPr>
              <w:rPr>
                <w:rFonts w:cstheme="minorHAnsi"/>
                <w:u w:val="single"/>
                <w:lang w:val="nl-NL"/>
              </w:rPr>
            </w:pPr>
            <w:r w:rsidRPr="007A403D">
              <w:rPr>
                <w:rFonts w:cstheme="minorHAnsi"/>
                <w:u w:val="single"/>
                <w:lang w:val="nl-NL"/>
              </w:rPr>
              <w:t>a)</w:t>
            </w:r>
            <w:r w:rsidR="004D40A1" w:rsidRPr="007A403D">
              <w:rPr>
                <w:rFonts w:cstheme="minorHAnsi"/>
                <w:u w:val="single"/>
                <w:lang w:val="nl-NL"/>
              </w:rPr>
              <w:t xml:space="preserve"> maatregelen om personen met een handicap, met name vrouwen, kinderen en ouderen met een handicap, te beschermen tegen uitbuiting, geweld en misbruik, met inbegrip van alle vormen van huiselijk en institutioneel geweld;</w:t>
            </w:r>
          </w:p>
          <w:p w14:paraId="337A25B4" w14:textId="00B3CC5A" w:rsidR="00F77A18" w:rsidRPr="007A403D" w:rsidRDefault="00F77A18" w:rsidP="00F77A18">
            <w:pPr>
              <w:rPr>
                <w:rFonts w:cstheme="minorHAnsi"/>
                <w:lang w:val="nl-NL"/>
              </w:rPr>
            </w:pPr>
          </w:p>
        </w:tc>
        <w:tc>
          <w:tcPr>
            <w:tcW w:w="1439" w:type="dxa"/>
          </w:tcPr>
          <w:p w14:paraId="7005492C" w14:textId="77777777" w:rsidR="002B0CA6" w:rsidRPr="007A403D" w:rsidRDefault="002B0CA6" w:rsidP="002B0CA6">
            <w:pPr>
              <w:keepNext/>
              <w:keepLines/>
              <w:spacing w:before="240"/>
              <w:outlineLvl w:val="0"/>
              <w:rPr>
                <w:rFonts w:eastAsiaTheme="majorEastAsia" w:cstheme="minorHAnsi"/>
                <w:u w:val="single"/>
                <w:lang w:val="fr-CH"/>
              </w:rPr>
            </w:pPr>
            <w:r w:rsidRPr="007A403D">
              <w:rPr>
                <w:rFonts w:eastAsiaTheme="majorEastAsia" w:cstheme="minorHAnsi"/>
                <w:u w:val="single"/>
                <w:lang w:val="fr-CH"/>
              </w:rPr>
              <w:t>CDPH</w:t>
            </w:r>
          </w:p>
        </w:tc>
      </w:tr>
      <w:tr w:rsidR="002B0CA6" w:rsidRPr="007A403D" w14:paraId="0DBD0723" w14:textId="77777777" w:rsidTr="00F77A18">
        <w:trPr>
          <w:trHeight w:val="532"/>
        </w:trPr>
        <w:tc>
          <w:tcPr>
            <w:tcW w:w="1413" w:type="dxa"/>
          </w:tcPr>
          <w:p w14:paraId="2A82FAFC" w14:textId="4C2D32E4" w:rsidR="002B0CA6" w:rsidRPr="007A403D" w:rsidRDefault="002B0CA6" w:rsidP="002B0CA6">
            <w:pPr>
              <w:rPr>
                <w:rFonts w:cstheme="minorHAnsi"/>
                <w:lang w:val="fr-CH"/>
              </w:rPr>
            </w:pPr>
            <w:r w:rsidRPr="007A403D">
              <w:rPr>
                <w:rFonts w:cstheme="minorHAnsi"/>
                <w:lang w:val="fr-CH"/>
              </w:rPr>
              <w:t>F</w:t>
            </w:r>
            <w:r w:rsidR="009A6361" w:rsidRPr="007A403D">
              <w:rPr>
                <w:rFonts w:cstheme="minorHAnsi"/>
                <w:lang w:val="fr-CH"/>
              </w:rPr>
              <w:t>1</w:t>
            </w:r>
            <w:r w:rsidR="00F77A18" w:rsidRPr="007A403D">
              <w:rPr>
                <w:rFonts w:cstheme="minorHAnsi"/>
                <w:lang w:val="fr-CH"/>
              </w:rPr>
              <w:t>2</w:t>
            </w:r>
            <w:r w:rsidRPr="007A403D">
              <w:rPr>
                <w:rFonts w:cstheme="minorHAnsi"/>
                <w:lang w:val="fr-CH"/>
              </w:rPr>
              <w:t xml:space="preserve"> </w:t>
            </w:r>
            <w:r w:rsidR="0089297C" w:rsidRPr="007A403D">
              <w:rPr>
                <w:rFonts w:cstheme="minorHAnsi"/>
                <w:lang w:val="fr-CH"/>
              </w:rPr>
              <w:t>V</w:t>
            </w:r>
            <w:r w:rsidR="004418E7" w:rsidRPr="007A403D">
              <w:rPr>
                <w:rFonts w:cstheme="minorHAnsi"/>
                <w:lang w:val="fr-CH"/>
              </w:rPr>
              <w:t>1</w:t>
            </w:r>
            <w:r w:rsidR="00F77A18" w:rsidRPr="007A403D">
              <w:rPr>
                <w:rFonts w:cstheme="minorHAnsi"/>
                <w:lang w:val="fr-CH"/>
              </w:rPr>
              <w:t>6</w:t>
            </w:r>
            <w:r w:rsidRPr="007A403D">
              <w:rPr>
                <w:rFonts w:cstheme="minorHAnsi"/>
                <w:lang w:val="fr-CH"/>
              </w:rPr>
              <w:t xml:space="preserve"> </w:t>
            </w:r>
            <w:r w:rsidR="00F77A18" w:rsidRPr="007A403D">
              <w:rPr>
                <w:rFonts w:cstheme="minorHAnsi"/>
                <w:lang w:val="fr-CH"/>
              </w:rPr>
              <w:t>a)</w:t>
            </w:r>
          </w:p>
        </w:tc>
        <w:tc>
          <w:tcPr>
            <w:tcW w:w="10144" w:type="dxa"/>
          </w:tcPr>
          <w:p w14:paraId="11417B03" w14:textId="7EFAA825" w:rsidR="006159C4" w:rsidRPr="007A403D" w:rsidRDefault="006159C4" w:rsidP="006159C4">
            <w:pPr>
              <w:rPr>
                <w:rFonts w:cstheme="minorHAnsi"/>
                <w:lang w:val="nl-BE"/>
              </w:rPr>
            </w:pPr>
            <w:r w:rsidRPr="007A403D">
              <w:rPr>
                <w:rFonts w:cstheme="minorHAnsi"/>
                <w:lang w:val="nl-BE"/>
              </w:rPr>
              <w:t>Behalve de UGent-studie</w:t>
            </w:r>
            <w:r w:rsidRPr="007A403D">
              <w:rPr>
                <w:rFonts w:cstheme="minorHAnsi"/>
                <w:vertAlign w:val="superscript"/>
                <w:lang w:val="nl-BE"/>
              </w:rPr>
              <w:footnoteReference w:id="1"/>
            </w:r>
            <w:r w:rsidRPr="007A403D">
              <w:rPr>
                <w:rFonts w:cstheme="minorHAnsi"/>
                <w:lang w:val="nl-BE"/>
              </w:rPr>
              <w:t xml:space="preserve"> heeft het BDF geen studieresultaten die het vermoeden van misbruik van personen met een handicap kunnen weerleggen of bevestigen. Deze academische studie bevestigt echter de aanwijzingen die door verschillende BDF-lid organisaties zijn verzameld door middel van talrijke getuigenissen.</w:t>
            </w:r>
          </w:p>
          <w:p w14:paraId="7D1D1A2D" w14:textId="77777777" w:rsidR="006637EA" w:rsidRPr="007A403D" w:rsidRDefault="006637EA" w:rsidP="006159C4">
            <w:pPr>
              <w:rPr>
                <w:rFonts w:cstheme="minorHAnsi"/>
                <w:lang w:val="nl-BE"/>
              </w:rPr>
            </w:pPr>
          </w:p>
          <w:p w14:paraId="1818CC9B" w14:textId="77777777" w:rsidR="006159C4" w:rsidRPr="007A403D" w:rsidRDefault="006159C4" w:rsidP="006159C4">
            <w:pPr>
              <w:rPr>
                <w:rFonts w:cstheme="minorHAnsi"/>
                <w:lang w:val="nl-BE"/>
              </w:rPr>
            </w:pPr>
            <w:r w:rsidRPr="007A403D">
              <w:rPr>
                <w:rFonts w:cstheme="minorHAnsi"/>
                <w:lang w:val="nl-BE"/>
              </w:rPr>
              <w:t>Getuigenissen die door handicaporganisaties en sociale diensten worden verzameld, worden systematisch anoniem ontvangen, omdat slachtoffers bang zijn om een klacht in te dienen vanwege hun sterke afhankelijkheid van de omgeving waarin deze gebeurtenissen zich voordoen.</w:t>
            </w:r>
          </w:p>
          <w:p w14:paraId="0A6E10D5" w14:textId="4B381091" w:rsidR="006159C4" w:rsidRPr="007A403D" w:rsidRDefault="006159C4" w:rsidP="006159C4">
            <w:pPr>
              <w:rPr>
                <w:rFonts w:cstheme="minorHAnsi"/>
                <w:lang w:val="nl-BE"/>
              </w:rPr>
            </w:pPr>
            <w:r w:rsidRPr="007A403D">
              <w:rPr>
                <w:rFonts w:cstheme="minorHAnsi"/>
                <w:lang w:val="nl-BE"/>
              </w:rPr>
              <w:t>Dit aspect wordt duidelijk bevestigd door de studie van de UGent.</w:t>
            </w:r>
          </w:p>
          <w:p w14:paraId="40E07201" w14:textId="1C4EB7F1" w:rsidR="006159C4" w:rsidRPr="007A403D" w:rsidRDefault="006159C4" w:rsidP="006159C4">
            <w:pPr>
              <w:rPr>
                <w:rFonts w:cstheme="minorHAnsi"/>
                <w:lang w:val="nl-BE"/>
              </w:rPr>
            </w:pPr>
          </w:p>
          <w:p w14:paraId="1A9E9B62" w14:textId="5C614A44" w:rsidR="006159C4" w:rsidRPr="007A403D" w:rsidRDefault="006159C4" w:rsidP="006159C4">
            <w:pPr>
              <w:rPr>
                <w:rFonts w:cstheme="minorHAnsi"/>
                <w:lang w:val="nl-BE"/>
              </w:rPr>
            </w:pPr>
            <w:r w:rsidRPr="007A403D">
              <w:rPr>
                <w:rFonts w:cstheme="minorHAnsi"/>
                <w:lang w:val="nl-BE"/>
              </w:rPr>
              <w:t xml:space="preserve">Deze misstanden zouden van tweeërlei aard zijn: terughoudendheid, zowel fysiek als chemisch, en gedwongen sterilisatie of anticonceptie. Deze handelingen zouden worden gepleegd in psychiatrische instellingen, instellingen en dagcentra voor personen met een handicap en in speciale </w:t>
            </w:r>
            <w:r w:rsidRPr="007A403D">
              <w:rPr>
                <w:rFonts w:cstheme="minorHAnsi"/>
                <w:vertAlign w:val="superscript"/>
                <w:lang w:val="nl-BE"/>
              </w:rPr>
              <w:footnoteReference w:id="2"/>
            </w:r>
            <w:r w:rsidRPr="007A403D">
              <w:rPr>
                <w:rFonts w:cstheme="minorHAnsi"/>
                <w:lang w:val="nl-BE"/>
              </w:rPr>
              <w:t>onderwijsinstellingen.</w:t>
            </w:r>
          </w:p>
          <w:p w14:paraId="1B6AF370" w14:textId="77777777" w:rsidR="006637EA" w:rsidRPr="007A403D" w:rsidRDefault="006637EA" w:rsidP="006159C4">
            <w:pPr>
              <w:rPr>
                <w:rFonts w:cstheme="minorHAnsi"/>
                <w:lang w:val="nl-BE"/>
              </w:rPr>
            </w:pPr>
          </w:p>
          <w:p w14:paraId="51BBB05A" w14:textId="77777777" w:rsidR="006159C4" w:rsidRPr="007A403D" w:rsidRDefault="006159C4" w:rsidP="006159C4">
            <w:pPr>
              <w:rPr>
                <w:rFonts w:cstheme="minorHAnsi"/>
                <w:lang w:val="nl-BE"/>
              </w:rPr>
            </w:pPr>
            <w:r w:rsidRPr="007A403D">
              <w:rPr>
                <w:rFonts w:cstheme="minorHAnsi"/>
                <w:lang w:val="nl-BE"/>
              </w:rPr>
              <w:t>Het is altijd riskant om de situatie te extrapoleren van het ene gewest naar het andere, maar bij gebrek aan een gelijkaardige studie voor het Brussels Hoofdstedelijk Gewest en het Waals Gewest en gezien het bestaan van vele anonieme getuigenissen die hetzelfde soort feiten melden, kan het BDF besluiten dat het over voldoende bewijzen beschikt om dit te doen.</w:t>
            </w:r>
          </w:p>
          <w:p w14:paraId="28695DEA" w14:textId="77777777" w:rsidR="006159C4" w:rsidRPr="007A403D" w:rsidRDefault="006159C4" w:rsidP="006159C4">
            <w:pPr>
              <w:rPr>
                <w:rFonts w:cstheme="minorHAnsi"/>
                <w:lang w:val="nl-BE"/>
              </w:rPr>
            </w:pPr>
          </w:p>
          <w:p w14:paraId="6D449F17" w14:textId="77777777" w:rsidR="006159C4" w:rsidRPr="007A403D" w:rsidRDefault="006159C4" w:rsidP="006159C4">
            <w:pPr>
              <w:rPr>
                <w:rFonts w:cstheme="minorHAnsi"/>
                <w:u w:val="single"/>
                <w:lang w:val="nl-BE"/>
              </w:rPr>
            </w:pPr>
            <w:r w:rsidRPr="007A403D">
              <w:rPr>
                <w:rFonts w:cstheme="minorHAnsi"/>
                <w:u w:val="single"/>
                <w:lang w:val="nl-BE"/>
              </w:rPr>
              <w:t>Voorgestelde vragen :</w:t>
            </w:r>
          </w:p>
          <w:p w14:paraId="0EB3078A" w14:textId="77777777" w:rsidR="006637EA" w:rsidRPr="007A403D" w:rsidRDefault="006159C4" w:rsidP="006159C4">
            <w:pPr>
              <w:numPr>
                <w:ilvl w:val="0"/>
                <w:numId w:val="22"/>
              </w:numPr>
              <w:rPr>
                <w:rFonts w:cstheme="minorHAnsi"/>
                <w:lang w:val="nl-BE"/>
              </w:rPr>
            </w:pPr>
            <w:r w:rsidRPr="007A403D">
              <w:rPr>
                <w:rFonts w:cstheme="minorHAnsi"/>
                <w:lang w:val="nl-BE"/>
              </w:rPr>
              <w:lastRenderedPageBreak/>
              <w:t>Welke cijfers heeft België over het gebruik van fysieke of chemische dwang in dagcentra of instellingen? Komen de geïdentificeerde gevallen altijd overeen met situaties die deze interventie rechtvaardigen, zoals voorzien in de Belgische wetgeving: risico's voor de persoon of voor derden als gevolg van het gedrag van de betrokken persoon? Welke maatregelen denkt België te nemen om een einde te maken aan het gebruik van dwang?</w:t>
            </w:r>
          </w:p>
          <w:p w14:paraId="12F34B5B" w14:textId="421DDCF9" w:rsidR="006159C4" w:rsidRPr="007A403D" w:rsidRDefault="006159C4" w:rsidP="006159C4">
            <w:pPr>
              <w:numPr>
                <w:ilvl w:val="0"/>
                <w:numId w:val="22"/>
              </w:numPr>
              <w:rPr>
                <w:rFonts w:cstheme="minorHAnsi"/>
                <w:lang w:val="nl-BE"/>
              </w:rPr>
            </w:pPr>
            <w:r w:rsidRPr="007A403D">
              <w:rPr>
                <w:rFonts w:cstheme="minorHAnsi"/>
                <w:lang w:val="nl-BE"/>
              </w:rPr>
              <w:t>Welke concrete maatregelen denkt België te nemen om de identificatie van gevallen van gedwongen medicatie te vergemakkelijken?</w:t>
            </w:r>
          </w:p>
          <w:p w14:paraId="4D6668A7" w14:textId="56781A68" w:rsidR="00DD67CC" w:rsidRPr="007A403D" w:rsidRDefault="00DD67CC" w:rsidP="002665AF">
            <w:pPr>
              <w:rPr>
                <w:rFonts w:cstheme="minorHAnsi"/>
                <w:lang w:val="nl-BE"/>
              </w:rPr>
            </w:pPr>
          </w:p>
        </w:tc>
        <w:tc>
          <w:tcPr>
            <w:tcW w:w="1439" w:type="dxa"/>
          </w:tcPr>
          <w:p w14:paraId="6CC99DF1" w14:textId="0C24A378" w:rsidR="002B0CA6" w:rsidRPr="007A403D" w:rsidRDefault="0037152E" w:rsidP="002B0CA6">
            <w:pPr>
              <w:rPr>
                <w:rFonts w:cstheme="minorHAnsi"/>
                <w:u w:val="single"/>
                <w:lang w:val="fr-BE"/>
              </w:rPr>
            </w:pPr>
            <w:r w:rsidRPr="007A403D">
              <w:rPr>
                <w:rFonts w:cstheme="minorHAnsi"/>
                <w:u w:val="single"/>
                <w:lang w:val="fr-BE"/>
              </w:rPr>
              <w:lastRenderedPageBreak/>
              <w:t>Secretariaat</w:t>
            </w:r>
          </w:p>
        </w:tc>
      </w:tr>
      <w:tr w:rsidR="006637EA" w:rsidRPr="007A403D" w14:paraId="3DFF3792" w14:textId="77777777" w:rsidTr="00F77A18">
        <w:trPr>
          <w:trHeight w:val="532"/>
        </w:trPr>
        <w:tc>
          <w:tcPr>
            <w:tcW w:w="1413" w:type="dxa"/>
          </w:tcPr>
          <w:p w14:paraId="243C5B0E" w14:textId="094DDF9D" w:rsidR="006637EA" w:rsidRPr="007A403D" w:rsidRDefault="006637EA" w:rsidP="006637EA">
            <w:pPr>
              <w:jc w:val="center"/>
              <w:rPr>
                <w:rFonts w:cstheme="minorHAnsi"/>
                <w:lang w:val="fr-CH"/>
              </w:rPr>
            </w:pPr>
            <w:r w:rsidRPr="007A403D">
              <w:rPr>
                <w:rFonts w:cstheme="minorHAnsi"/>
                <w:lang w:val="fr-CH"/>
              </w:rPr>
              <w:t>F12 V16 a)</w:t>
            </w:r>
          </w:p>
        </w:tc>
        <w:tc>
          <w:tcPr>
            <w:tcW w:w="10144" w:type="dxa"/>
          </w:tcPr>
          <w:p w14:paraId="64D78F10" w14:textId="77777777" w:rsidR="00AA582B" w:rsidRPr="007A403D" w:rsidRDefault="00AA582B" w:rsidP="00AA582B">
            <w:pPr>
              <w:rPr>
                <w:rFonts w:cstheme="minorHAnsi"/>
                <w:lang w:val="nl-BE"/>
              </w:rPr>
            </w:pPr>
            <w:r w:rsidRPr="007A403D">
              <w:rPr>
                <w:rFonts w:cstheme="minorHAnsi"/>
                <w:lang w:val="nl-BE"/>
              </w:rPr>
              <w:t>Een algemene opmerking is de bewustmaking van geweld tegen vrouwen met een handicap om de mentaliteit te veranderen. Sommige vrouwen met een handicap hebben niet eens toegang tot bepaalde grondrechten.</w:t>
            </w:r>
          </w:p>
          <w:p w14:paraId="3C984024" w14:textId="77777777" w:rsidR="00AA582B" w:rsidRPr="007A403D" w:rsidRDefault="00AA582B" w:rsidP="00AA582B">
            <w:pPr>
              <w:rPr>
                <w:rFonts w:cstheme="minorHAnsi"/>
                <w:lang w:val="nl-BE"/>
              </w:rPr>
            </w:pPr>
          </w:p>
          <w:p w14:paraId="5206155C" w14:textId="77777777" w:rsidR="006637EA" w:rsidRPr="007A403D" w:rsidRDefault="00AA582B" w:rsidP="00AA582B">
            <w:pPr>
              <w:rPr>
                <w:rFonts w:cstheme="minorHAnsi"/>
                <w:lang w:val="nl-BE"/>
              </w:rPr>
            </w:pPr>
            <w:r w:rsidRPr="007A403D">
              <w:rPr>
                <w:rFonts w:cstheme="minorHAnsi"/>
                <w:lang w:val="nl-BE"/>
              </w:rPr>
              <w:t>Vergemakkelijken van de mogelijkheid tot het indienen van klachten door ingezetenen in erkende instellingen en/of door de fondsen gesubsidieerde instellingen door de anonimiteit, het reactievermogen en het behoud van een plaats in een instelling te garanderen, aangezien dit vaak de plaats is waar de spanningen liggen.</w:t>
            </w:r>
          </w:p>
          <w:p w14:paraId="3A7DECF2" w14:textId="5DD51150" w:rsidR="00AA582B" w:rsidRPr="007A403D" w:rsidRDefault="00AA582B" w:rsidP="00AA582B">
            <w:pPr>
              <w:rPr>
                <w:rFonts w:cstheme="minorHAnsi"/>
                <w:lang w:val="nl-BE"/>
              </w:rPr>
            </w:pPr>
          </w:p>
        </w:tc>
        <w:tc>
          <w:tcPr>
            <w:tcW w:w="1439" w:type="dxa"/>
          </w:tcPr>
          <w:p w14:paraId="0BF7D6FC" w14:textId="1DC0C369" w:rsidR="006637EA" w:rsidRPr="007A403D" w:rsidRDefault="006637EA" w:rsidP="002B0CA6">
            <w:pPr>
              <w:rPr>
                <w:rFonts w:cstheme="minorHAnsi"/>
                <w:u w:val="single"/>
                <w:lang w:val="fr-BE"/>
              </w:rPr>
            </w:pPr>
            <w:r w:rsidRPr="007A403D">
              <w:rPr>
                <w:rFonts w:cstheme="minorHAnsi"/>
                <w:u w:val="single"/>
                <w:lang w:val="fr-BE"/>
              </w:rPr>
              <w:t>ASPH</w:t>
            </w:r>
          </w:p>
        </w:tc>
      </w:tr>
      <w:tr w:rsidR="006637EA" w:rsidRPr="007A403D" w14:paraId="16D59200" w14:textId="77777777" w:rsidTr="00F77A18">
        <w:trPr>
          <w:trHeight w:val="532"/>
        </w:trPr>
        <w:tc>
          <w:tcPr>
            <w:tcW w:w="1413" w:type="dxa"/>
          </w:tcPr>
          <w:p w14:paraId="0120B426" w14:textId="0B8835DF" w:rsidR="006637EA" w:rsidRPr="007A403D" w:rsidRDefault="006637EA" w:rsidP="002B0CA6">
            <w:pPr>
              <w:rPr>
                <w:rFonts w:cstheme="minorHAnsi"/>
                <w:lang w:val="fr-CH"/>
              </w:rPr>
            </w:pPr>
            <w:r w:rsidRPr="007A403D">
              <w:rPr>
                <w:rFonts w:cstheme="minorHAnsi"/>
                <w:lang w:val="fr-CH"/>
              </w:rPr>
              <w:t>F12 V16 a)</w:t>
            </w:r>
          </w:p>
        </w:tc>
        <w:tc>
          <w:tcPr>
            <w:tcW w:w="10144" w:type="dxa"/>
          </w:tcPr>
          <w:p w14:paraId="20C167B0" w14:textId="77777777" w:rsidR="00AA582B" w:rsidRPr="007A403D" w:rsidRDefault="00AA582B" w:rsidP="00AA582B">
            <w:pPr>
              <w:rPr>
                <w:rFonts w:cstheme="minorHAnsi"/>
                <w:lang w:val="nl-NL"/>
              </w:rPr>
            </w:pPr>
            <w:r w:rsidRPr="007A403D">
              <w:rPr>
                <w:rFonts w:cstheme="minorHAnsi"/>
                <w:lang w:val="nl-NL"/>
              </w:rPr>
              <w:t xml:space="preserve">“…De studie </w:t>
            </w:r>
            <w:r w:rsidRPr="007A403D">
              <w:rPr>
                <w:rFonts w:cstheme="minorHAnsi"/>
                <w:highlight w:val="lightGray"/>
                <w:lang w:val="nl-NL"/>
              </w:rPr>
              <w:t>resulteerde in een aantal beleidsaanbevelingen,</w:t>
            </w:r>
            <w:r w:rsidRPr="007A403D">
              <w:rPr>
                <w:rFonts w:cstheme="minorHAnsi"/>
                <w:lang w:val="nl-NL"/>
              </w:rPr>
              <w:t>…”</w:t>
            </w:r>
          </w:p>
          <w:p w14:paraId="36B37BB7" w14:textId="77777777" w:rsidR="00AA582B" w:rsidRPr="007A403D" w:rsidRDefault="00AA582B" w:rsidP="00AA582B">
            <w:pPr>
              <w:pStyle w:val="Paragraphedeliste"/>
              <w:numPr>
                <w:ilvl w:val="0"/>
                <w:numId w:val="23"/>
              </w:numPr>
              <w:contextualSpacing w:val="0"/>
              <w:rPr>
                <w:rFonts w:cstheme="minorHAnsi"/>
                <w:color w:val="44546A"/>
                <w:lang w:val="nl-BE"/>
              </w:rPr>
            </w:pPr>
            <w:r w:rsidRPr="007A403D">
              <w:rPr>
                <w:rFonts w:cstheme="minorHAnsi"/>
                <w:color w:val="44546A"/>
                <w:lang w:val="nl-BE"/>
              </w:rPr>
              <w:t>Kunnen we ook vragen wat er NADIEN nog is gebeurd? Studies zijn zeer nuttig, maar jammer als ze gewoon in de kast belanden. Werd er iets met die aanbevelingen gedaan? Welke acties werden ondernomen?</w:t>
            </w:r>
          </w:p>
          <w:p w14:paraId="5EABCEAC" w14:textId="77777777" w:rsidR="006637EA" w:rsidRPr="007A403D" w:rsidRDefault="006637EA" w:rsidP="006159C4">
            <w:pPr>
              <w:rPr>
                <w:rFonts w:cstheme="minorHAnsi"/>
                <w:lang w:val="nl-BE"/>
              </w:rPr>
            </w:pPr>
          </w:p>
        </w:tc>
        <w:tc>
          <w:tcPr>
            <w:tcW w:w="1439" w:type="dxa"/>
          </w:tcPr>
          <w:p w14:paraId="00249786" w14:textId="1935E9A9" w:rsidR="006637EA" w:rsidRPr="007A403D" w:rsidRDefault="006637EA" w:rsidP="002B0CA6">
            <w:pPr>
              <w:rPr>
                <w:rFonts w:cstheme="minorHAnsi"/>
                <w:u w:val="single"/>
                <w:lang w:val="fr-BE"/>
              </w:rPr>
            </w:pPr>
            <w:r w:rsidRPr="007A403D">
              <w:rPr>
                <w:rFonts w:cstheme="minorHAnsi"/>
                <w:u w:val="single"/>
                <w:lang w:val="fr-BE"/>
              </w:rPr>
              <w:t>VFG</w:t>
            </w:r>
          </w:p>
        </w:tc>
      </w:tr>
      <w:tr w:rsidR="00F77A18" w:rsidRPr="00A40782" w14:paraId="72AEFAC3" w14:textId="77777777" w:rsidTr="00F77A18">
        <w:trPr>
          <w:trHeight w:val="70"/>
        </w:trPr>
        <w:tc>
          <w:tcPr>
            <w:tcW w:w="1413" w:type="dxa"/>
            <w:shd w:val="clear" w:color="auto" w:fill="D9D9D9" w:themeFill="background1" w:themeFillShade="D9"/>
          </w:tcPr>
          <w:p w14:paraId="5B1168C7" w14:textId="77777777" w:rsidR="00F77A18" w:rsidRPr="00A40782" w:rsidRDefault="00F77A18" w:rsidP="002B0CA6">
            <w:pPr>
              <w:rPr>
                <w:rFonts w:cstheme="minorHAnsi"/>
                <w:sz w:val="8"/>
                <w:szCs w:val="8"/>
                <w:lang w:val="fr-CH"/>
              </w:rPr>
            </w:pPr>
          </w:p>
        </w:tc>
        <w:tc>
          <w:tcPr>
            <w:tcW w:w="10144" w:type="dxa"/>
            <w:shd w:val="clear" w:color="auto" w:fill="D9D9D9" w:themeFill="background1" w:themeFillShade="D9"/>
          </w:tcPr>
          <w:p w14:paraId="45ED8105" w14:textId="77777777" w:rsidR="00F77A18" w:rsidRPr="00A40782" w:rsidRDefault="00F77A18" w:rsidP="002665AF">
            <w:pPr>
              <w:rPr>
                <w:rFonts w:cstheme="minorHAnsi"/>
                <w:sz w:val="8"/>
                <w:szCs w:val="8"/>
                <w:lang w:val="nl-BE"/>
              </w:rPr>
            </w:pPr>
          </w:p>
        </w:tc>
        <w:tc>
          <w:tcPr>
            <w:tcW w:w="1439" w:type="dxa"/>
            <w:shd w:val="clear" w:color="auto" w:fill="D9D9D9" w:themeFill="background1" w:themeFillShade="D9"/>
          </w:tcPr>
          <w:p w14:paraId="437B77C8" w14:textId="77777777" w:rsidR="00F77A18" w:rsidRPr="00A40782" w:rsidRDefault="00F77A18" w:rsidP="002B0CA6">
            <w:pPr>
              <w:rPr>
                <w:rFonts w:cstheme="minorHAnsi"/>
                <w:sz w:val="8"/>
                <w:szCs w:val="8"/>
                <w:u w:val="single"/>
                <w:lang w:val="fr-BE"/>
              </w:rPr>
            </w:pPr>
          </w:p>
        </w:tc>
      </w:tr>
      <w:tr w:rsidR="00F77A18" w:rsidRPr="007A403D" w14:paraId="5E47C93F" w14:textId="77777777" w:rsidTr="00F77A18">
        <w:trPr>
          <w:trHeight w:val="532"/>
        </w:trPr>
        <w:tc>
          <w:tcPr>
            <w:tcW w:w="1413" w:type="dxa"/>
          </w:tcPr>
          <w:p w14:paraId="01FDB43D" w14:textId="2EBBABCE" w:rsidR="00F77A18" w:rsidRPr="007A403D" w:rsidRDefault="00F77A18" w:rsidP="002B0CA6">
            <w:pPr>
              <w:rPr>
                <w:rFonts w:cstheme="minorHAnsi"/>
                <w:lang w:val="fr-CH"/>
              </w:rPr>
            </w:pPr>
            <w:r w:rsidRPr="007A403D">
              <w:rPr>
                <w:rFonts w:cstheme="minorHAnsi"/>
                <w:lang w:val="fr-CH"/>
              </w:rPr>
              <w:t>F12 V16 b)</w:t>
            </w:r>
          </w:p>
        </w:tc>
        <w:tc>
          <w:tcPr>
            <w:tcW w:w="10144" w:type="dxa"/>
          </w:tcPr>
          <w:p w14:paraId="5231AE00" w14:textId="5966C4EA" w:rsidR="00F77A18" w:rsidRPr="007A403D" w:rsidRDefault="00F77A18" w:rsidP="002665AF">
            <w:pPr>
              <w:rPr>
                <w:rFonts w:cstheme="minorHAnsi"/>
                <w:b/>
                <w:bCs/>
                <w:u w:val="single"/>
                <w:lang w:val="nl-NL"/>
              </w:rPr>
            </w:pPr>
            <w:r w:rsidRPr="007A403D">
              <w:rPr>
                <w:rFonts w:cstheme="minorHAnsi"/>
                <w:b/>
                <w:bCs/>
                <w:u w:val="single"/>
                <w:lang w:val="nl-BE"/>
              </w:rPr>
              <w:t>Vraag 16 :</w:t>
            </w:r>
            <w:r w:rsidR="004D40A1" w:rsidRPr="007A403D">
              <w:rPr>
                <w:rFonts w:cstheme="minorHAnsi"/>
                <w:b/>
                <w:bCs/>
                <w:u w:val="single"/>
                <w:lang w:val="nl-BE"/>
              </w:rPr>
              <w:t xml:space="preserve"> </w:t>
            </w:r>
            <w:r w:rsidR="004D40A1" w:rsidRPr="007A403D">
              <w:rPr>
                <w:rFonts w:cstheme="minorHAnsi"/>
                <w:u w:val="single"/>
                <w:lang w:val="nl-NL"/>
              </w:rPr>
              <w:t>Gelieve informatie te verstrekken over:</w:t>
            </w:r>
          </w:p>
          <w:p w14:paraId="4E01D688" w14:textId="77777777" w:rsidR="004D40A1" w:rsidRPr="007A403D" w:rsidRDefault="00F77A18" w:rsidP="004D40A1">
            <w:pPr>
              <w:rPr>
                <w:rFonts w:cstheme="minorHAnsi"/>
                <w:u w:val="single"/>
                <w:lang w:val="nl-NL"/>
              </w:rPr>
            </w:pPr>
            <w:r w:rsidRPr="007A403D">
              <w:rPr>
                <w:rFonts w:cstheme="minorHAnsi"/>
                <w:u w:val="single"/>
                <w:lang w:val="nl-BE"/>
              </w:rPr>
              <w:t>b)</w:t>
            </w:r>
            <w:r w:rsidR="004D40A1" w:rsidRPr="007A403D">
              <w:rPr>
                <w:rFonts w:cstheme="minorHAnsi"/>
                <w:u w:val="single"/>
                <w:lang w:val="nl-NL"/>
              </w:rPr>
              <w:t xml:space="preserve"> de vaststelling van protocollen voor de vroegtijdige opsporing van geweld, met name in institutionele contexten, voor het bieden van procedurele voorzieningen om getuigenissen van slachtoffers te verzamelen, voor de vervolging van degenen die verantwoordelijk zijn voor gewelddelicten en voor het soort schadeloosstelling dat personen met een handicap die het slachtoffer zijn van geweld ontvangen.</w:t>
            </w:r>
          </w:p>
          <w:p w14:paraId="7CF84453" w14:textId="72CA1862" w:rsidR="00F77A18" w:rsidRPr="007A403D" w:rsidRDefault="00F77A18" w:rsidP="002665AF">
            <w:pPr>
              <w:rPr>
                <w:rFonts w:cstheme="minorHAnsi"/>
                <w:lang w:val="nl-NL"/>
              </w:rPr>
            </w:pPr>
          </w:p>
        </w:tc>
        <w:tc>
          <w:tcPr>
            <w:tcW w:w="1439" w:type="dxa"/>
          </w:tcPr>
          <w:p w14:paraId="5B621EE3" w14:textId="6B9F068A" w:rsidR="00F77A18" w:rsidRPr="007A403D" w:rsidRDefault="006159C4" w:rsidP="002B0CA6">
            <w:pPr>
              <w:rPr>
                <w:rFonts w:cstheme="minorHAnsi"/>
                <w:u w:val="single"/>
                <w:lang w:val="nl-BE"/>
              </w:rPr>
            </w:pPr>
            <w:r w:rsidRPr="007A403D">
              <w:rPr>
                <w:rFonts w:cstheme="minorHAnsi"/>
                <w:u w:val="single"/>
                <w:lang w:val="nl-BE"/>
              </w:rPr>
              <w:t>CDPH</w:t>
            </w:r>
          </w:p>
        </w:tc>
      </w:tr>
      <w:tr w:rsidR="00F77A18" w:rsidRPr="007A403D" w14:paraId="17403B75" w14:textId="77777777" w:rsidTr="00F77A18">
        <w:trPr>
          <w:trHeight w:val="532"/>
        </w:trPr>
        <w:tc>
          <w:tcPr>
            <w:tcW w:w="1413" w:type="dxa"/>
          </w:tcPr>
          <w:p w14:paraId="0DFA1A49" w14:textId="172B55FC" w:rsidR="00F77A18" w:rsidRPr="007A403D" w:rsidRDefault="00F77A18" w:rsidP="002B0CA6">
            <w:pPr>
              <w:rPr>
                <w:rFonts w:cstheme="minorHAnsi"/>
                <w:lang w:val="fr-CH"/>
              </w:rPr>
            </w:pPr>
            <w:r w:rsidRPr="007A403D">
              <w:rPr>
                <w:rFonts w:cstheme="minorHAnsi"/>
                <w:lang w:val="fr-CH"/>
              </w:rPr>
              <w:t>F12 V16 b)</w:t>
            </w:r>
          </w:p>
        </w:tc>
        <w:tc>
          <w:tcPr>
            <w:tcW w:w="10144" w:type="dxa"/>
          </w:tcPr>
          <w:p w14:paraId="111292D1" w14:textId="4BF35EAA" w:rsidR="006159C4" w:rsidRPr="007A403D" w:rsidRDefault="006159C4" w:rsidP="006159C4">
            <w:pPr>
              <w:rPr>
                <w:rFonts w:cstheme="minorHAnsi"/>
                <w:lang w:val="nl-BE"/>
              </w:rPr>
            </w:pPr>
            <w:r w:rsidRPr="007A403D">
              <w:rPr>
                <w:rFonts w:cstheme="minorHAnsi"/>
                <w:lang w:val="nl-BE"/>
              </w:rPr>
              <w:t>Voor zover het BDF weet, bestaat er geen adequaat protocol voor het vroegtijdig opsporen van geweld in institutionele omgevingen, noch is er een klachtenprocedure die slachtoffers het nodige vertrouwen geeft om te getuigen over deze feiten, waar ze niet altijd het nodige begripsvermogen voor hebben.</w:t>
            </w:r>
          </w:p>
          <w:p w14:paraId="528374CD" w14:textId="77777777" w:rsidR="00AA582B" w:rsidRPr="007A403D" w:rsidRDefault="00AA582B" w:rsidP="006159C4">
            <w:pPr>
              <w:rPr>
                <w:rFonts w:cstheme="minorHAnsi"/>
                <w:lang w:val="nl-BE"/>
              </w:rPr>
            </w:pPr>
          </w:p>
          <w:p w14:paraId="21A4C299" w14:textId="77777777" w:rsidR="00F77A18" w:rsidRPr="007A403D" w:rsidRDefault="006159C4" w:rsidP="006159C4">
            <w:pPr>
              <w:rPr>
                <w:rFonts w:cstheme="minorHAnsi"/>
                <w:lang w:val="nl-BE"/>
              </w:rPr>
            </w:pPr>
            <w:r w:rsidRPr="007A403D">
              <w:rPr>
                <w:rFonts w:cstheme="minorHAnsi"/>
                <w:lang w:val="nl-BE"/>
              </w:rPr>
              <w:t>Het opsporen van gewelddaden kan soms nog moeilijker zijn voor mensen die in de gemeenschap leven.</w:t>
            </w:r>
          </w:p>
          <w:p w14:paraId="4ECF20B6" w14:textId="37C1D212" w:rsidR="00AA582B" w:rsidRPr="007A403D" w:rsidRDefault="00AA582B" w:rsidP="006159C4">
            <w:pPr>
              <w:rPr>
                <w:rFonts w:cstheme="minorHAnsi"/>
                <w:lang w:val="nl-BE"/>
              </w:rPr>
            </w:pPr>
          </w:p>
        </w:tc>
        <w:tc>
          <w:tcPr>
            <w:tcW w:w="1439" w:type="dxa"/>
          </w:tcPr>
          <w:p w14:paraId="7B26B6D0" w14:textId="662A0AC0" w:rsidR="00F77A18" w:rsidRPr="007A403D" w:rsidRDefault="006159C4" w:rsidP="002B0CA6">
            <w:pPr>
              <w:rPr>
                <w:rFonts w:cstheme="minorHAnsi"/>
                <w:u w:val="single"/>
                <w:lang w:val="fr-BE"/>
              </w:rPr>
            </w:pPr>
            <w:r w:rsidRPr="007A403D">
              <w:rPr>
                <w:rFonts w:cstheme="minorHAnsi"/>
                <w:u w:val="single"/>
                <w:lang w:val="fr-BE"/>
              </w:rPr>
              <w:t>Secretariaat</w:t>
            </w:r>
          </w:p>
        </w:tc>
      </w:tr>
      <w:tr w:rsidR="00AA582B" w:rsidRPr="007A403D" w14:paraId="3EA390AD" w14:textId="77777777" w:rsidTr="00F77A18">
        <w:trPr>
          <w:trHeight w:val="532"/>
        </w:trPr>
        <w:tc>
          <w:tcPr>
            <w:tcW w:w="1413" w:type="dxa"/>
          </w:tcPr>
          <w:p w14:paraId="7CD79290" w14:textId="0FFC3129" w:rsidR="00AA582B" w:rsidRPr="007A403D" w:rsidRDefault="00AA582B" w:rsidP="002B0CA6">
            <w:pPr>
              <w:rPr>
                <w:rFonts w:cstheme="minorHAnsi"/>
                <w:lang w:val="fr-CH"/>
              </w:rPr>
            </w:pPr>
            <w:r w:rsidRPr="007A403D">
              <w:rPr>
                <w:rFonts w:cstheme="minorHAnsi"/>
                <w:lang w:val="fr-CH"/>
              </w:rPr>
              <w:t>F12 V16 b)</w:t>
            </w:r>
          </w:p>
        </w:tc>
        <w:tc>
          <w:tcPr>
            <w:tcW w:w="10144" w:type="dxa"/>
          </w:tcPr>
          <w:p w14:paraId="0207B466" w14:textId="7CA0507E" w:rsidR="00BC74B3" w:rsidRPr="007A403D" w:rsidRDefault="00AA582B" w:rsidP="006159C4">
            <w:pPr>
              <w:rPr>
                <w:rFonts w:cstheme="minorHAnsi"/>
                <w:lang w:val="nl-BE"/>
              </w:rPr>
            </w:pPr>
            <w:r w:rsidRPr="007A403D">
              <w:rPr>
                <w:rFonts w:cstheme="minorHAnsi"/>
                <w:lang w:val="nl-BE"/>
              </w:rPr>
              <w:t>Het lijkt ons dat in het Waalse en het Brusselse Gewest de genomen maatregelen niet expliciet gericht zijn op misbruik van geweld, zoals in het Vlaamse Gewest het geval is.</w:t>
            </w:r>
          </w:p>
          <w:p w14:paraId="751E94C5" w14:textId="48CA3B0D" w:rsidR="00AA582B" w:rsidRPr="007A403D" w:rsidRDefault="00AA582B" w:rsidP="006159C4">
            <w:pPr>
              <w:rPr>
                <w:rFonts w:cstheme="minorHAnsi"/>
                <w:lang w:val="nl-BE"/>
              </w:rPr>
            </w:pPr>
          </w:p>
        </w:tc>
        <w:tc>
          <w:tcPr>
            <w:tcW w:w="1439" w:type="dxa"/>
          </w:tcPr>
          <w:p w14:paraId="313E5083" w14:textId="22199EF2" w:rsidR="00AA582B" w:rsidRPr="007A403D" w:rsidRDefault="00AA582B" w:rsidP="002B0CA6">
            <w:pPr>
              <w:rPr>
                <w:rFonts w:cstheme="minorHAnsi"/>
                <w:u w:val="single"/>
                <w:lang w:val="nl-BE"/>
              </w:rPr>
            </w:pPr>
            <w:r w:rsidRPr="007A403D">
              <w:rPr>
                <w:rFonts w:cstheme="minorHAnsi"/>
                <w:u w:val="single"/>
                <w:lang w:val="nl-BE"/>
              </w:rPr>
              <w:lastRenderedPageBreak/>
              <w:t>ASPH</w:t>
            </w:r>
          </w:p>
        </w:tc>
      </w:tr>
      <w:tr w:rsidR="00A40782" w:rsidRPr="00A40782" w14:paraId="31B85887" w14:textId="77777777" w:rsidTr="00F77A18">
        <w:trPr>
          <w:trHeight w:val="532"/>
        </w:trPr>
        <w:tc>
          <w:tcPr>
            <w:tcW w:w="1413" w:type="dxa"/>
          </w:tcPr>
          <w:p w14:paraId="11BAFFA6" w14:textId="68692E57" w:rsidR="00A40782" w:rsidRPr="007A403D" w:rsidRDefault="00A40782" w:rsidP="002B0CA6">
            <w:pPr>
              <w:rPr>
                <w:rFonts w:cstheme="minorHAnsi"/>
                <w:lang w:val="fr-CH"/>
              </w:rPr>
            </w:pPr>
            <w:r>
              <w:rPr>
                <w:rFonts w:cstheme="minorHAnsi"/>
                <w:lang w:val="fr-CH"/>
              </w:rPr>
              <w:t>F12 V16 b)</w:t>
            </w:r>
          </w:p>
        </w:tc>
        <w:tc>
          <w:tcPr>
            <w:tcW w:w="10144" w:type="dxa"/>
          </w:tcPr>
          <w:p w14:paraId="30E7CDFC" w14:textId="77777777" w:rsidR="00A40782" w:rsidRPr="00A40782" w:rsidRDefault="00A40782" w:rsidP="00A40782">
            <w:pPr>
              <w:pStyle w:val="Paragraphedeliste"/>
              <w:ind w:left="36"/>
              <w:contextualSpacing w:val="0"/>
              <w:rPr>
                <w:rFonts w:cstheme="minorHAnsi"/>
                <w:b/>
                <w:color w:val="C00000"/>
                <w:lang w:val="nl-NL"/>
              </w:rPr>
            </w:pPr>
            <w:r w:rsidRPr="00A40782">
              <w:rPr>
                <w:rFonts w:cstheme="minorHAnsi"/>
                <w:b/>
                <w:color w:val="C00000"/>
                <w:lang w:val="nl-NL"/>
              </w:rPr>
              <w:t xml:space="preserve">Er moet meer focus liggen op tekortkomingen bij zorg en ondersteuning. Er bestaan regulerende mechanismen (register waarin de kwaliteit van de diensten wordt beoordeeld, klachten over geweld, de follow-up daarvan en de hulp aan slachtoffers worden geregistreerd...), maar de bestaande klachtenregeling is te weinig gekend en de transparantie van de </w:t>
            </w:r>
            <w:r w:rsidRPr="00A40782">
              <w:rPr>
                <w:rFonts w:cstheme="minorHAnsi"/>
                <w:b/>
                <w:i/>
                <w:iCs/>
                <w:color w:val="C00000"/>
                <w:lang w:val="nl-NL"/>
              </w:rPr>
              <w:t>follow-up</w:t>
            </w:r>
            <w:r w:rsidRPr="00A40782">
              <w:rPr>
                <w:rFonts w:cstheme="minorHAnsi"/>
                <w:b/>
                <w:color w:val="C00000"/>
                <w:lang w:val="nl-NL"/>
              </w:rPr>
              <w:t xml:space="preserve"> van klachten is onvoldoende. </w:t>
            </w:r>
          </w:p>
          <w:p w14:paraId="47D60022" w14:textId="77777777" w:rsidR="00A40782" w:rsidRPr="00A40782" w:rsidRDefault="00A40782" w:rsidP="00A40782">
            <w:pPr>
              <w:pStyle w:val="Paragraphedeliste"/>
              <w:ind w:left="1635"/>
              <w:rPr>
                <w:rFonts w:cstheme="minorHAnsi"/>
                <w:b/>
                <w:color w:val="C00000"/>
                <w:lang w:val="nl-NL"/>
              </w:rPr>
            </w:pPr>
          </w:p>
          <w:p w14:paraId="6200AEAB" w14:textId="77777777" w:rsidR="00A40782" w:rsidRPr="00A40782" w:rsidRDefault="00A40782" w:rsidP="00A40782">
            <w:pPr>
              <w:rPr>
                <w:rFonts w:cstheme="minorHAnsi"/>
                <w:b/>
                <w:color w:val="C00000"/>
                <w:lang w:val="nl-NL"/>
              </w:rPr>
            </w:pPr>
            <w:r w:rsidRPr="00A40782">
              <w:rPr>
                <w:rFonts w:cstheme="minorHAnsi"/>
                <w:b/>
                <w:color w:val="C00000"/>
                <w:lang w:val="nl-NL"/>
              </w:rPr>
              <w:t xml:space="preserve">Bijgevolg is er behoefte aan een systeem dat persoonlijke ‘tegenmaatregelen’ (zoals uit de instelling gezet worden) vermijdt.  Een voorstel is om een toegankelijk meldpunt te maken, waar onder meer gebruik gemaakt wordt van </w:t>
            </w:r>
            <w:r w:rsidRPr="00A40782">
              <w:rPr>
                <w:rFonts w:cstheme="minorHAnsi"/>
                <w:b/>
                <w:i/>
                <w:iCs/>
                <w:color w:val="C00000"/>
                <w:lang w:val="nl-NL"/>
              </w:rPr>
              <w:t>easy-</w:t>
            </w:r>
            <w:proofErr w:type="spellStart"/>
            <w:r w:rsidRPr="00A40782">
              <w:rPr>
                <w:rFonts w:cstheme="minorHAnsi"/>
                <w:b/>
                <w:i/>
                <w:iCs/>
                <w:color w:val="C00000"/>
                <w:lang w:val="nl-NL"/>
              </w:rPr>
              <w:t>to</w:t>
            </w:r>
            <w:proofErr w:type="spellEnd"/>
            <w:r w:rsidRPr="00A40782">
              <w:rPr>
                <w:rFonts w:cstheme="minorHAnsi"/>
                <w:b/>
                <w:i/>
                <w:iCs/>
                <w:color w:val="C00000"/>
                <w:lang w:val="nl-NL"/>
              </w:rPr>
              <w:t>-</w:t>
            </w:r>
            <w:proofErr w:type="spellStart"/>
            <w:r w:rsidRPr="00A40782">
              <w:rPr>
                <w:rFonts w:cstheme="minorHAnsi"/>
                <w:b/>
                <w:i/>
                <w:iCs/>
                <w:color w:val="C00000"/>
                <w:lang w:val="nl-NL"/>
              </w:rPr>
              <w:t>read</w:t>
            </w:r>
            <w:proofErr w:type="spellEnd"/>
            <w:r w:rsidRPr="00A40782">
              <w:rPr>
                <w:rFonts w:cstheme="minorHAnsi"/>
                <w:b/>
                <w:color w:val="C00000"/>
                <w:lang w:val="nl-NL"/>
              </w:rPr>
              <w:t xml:space="preserve">. Verder dient het meldpunt neutraal te zijn, dat wil zeggen zonder tussenkomst van het management van de instelling om een gevoel van veiligheid te geven aan de burgers met klachten. Laatst dient het meldpunt de bevoegdheid en de verplichting te hebben om individuele gevallen op te volgen.  </w:t>
            </w:r>
          </w:p>
          <w:p w14:paraId="73C9DA68" w14:textId="77777777" w:rsidR="00A40782" w:rsidRPr="00A40782" w:rsidRDefault="00A40782" w:rsidP="00A40782">
            <w:pPr>
              <w:rPr>
                <w:rFonts w:cstheme="minorHAnsi"/>
                <w:b/>
                <w:color w:val="C00000"/>
                <w:lang w:val="nl-NL"/>
              </w:rPr>
            </w:pPr>
          </w:p>
          <w:p w14:paraId="461E575E" w14:textId="77777777" w:rsidR="00A40782" w:rsidRPr="00A40782" w:rsidRDefault="00A40782" w:rsidP="00A40782">
            <w:pPr>
              <w:rPr>
                <w:rFonts w:cstheme="minorHAnsi"/>
                <w:b/>
                <w:color w:val="C00000"/>
                <w:lang w:val="nl-NL"/>
              </w:rPr>
            </w:pPr>
            <w:r w:rsidRPr="00A40782">
              <w:rPr>
                <w:rFonts w:cstheme="minorHAnsi"/>
                <w:b/>
                <w:color w:val="C00000"/>
                <w:lang w:val="nl-NL"/>
              </w:rPr>
              <w:t>Er is echt behoefte aan rapportage, follow-up van klachten en vooral concrete controle/toezicht op de instellingen. Bijzondere aandacht moet uitgaan naar vrouwen en meisjes met een handicap. Een samenwerking tussen de deelstaten in dat verband is aangeraden.</w:t>
            </w:r>
          </w:p>
          <w:p w14:paraId="404C2223" w14:textId="77777777" w:rsidR="00A40782" w:rsidRPr="00A40782" w:rsidRDefault="00A40782" w:rsidP="00A40782">
            <w:pPr>
              <w:ind w:left="603"/>
              <w:rPr>
                <w:rFonts w:cstheme="minorHAnsi"/>
                <w:color w:val="0070C0"/>
                <w:lang w:val="nl-BE"/>
              </w:rPr>
            </w:pPr>
            <w:r w:rsidRPr="00A40782">
              <w:rPr>
                <w:rFonts w:cstheme="minorHAnsi"/>
                <w:color w:val="0070C0"/>
                <w:lang w:val="nl-BE"/>
              </w:rPr>
              <w:t>Link NHRPH, Advies Platform, blz. 14.</w:t>
            </w:r>
          </w:p>
          <w:p w14:paraId="4DEE2B64" w14:textId="240DCBB2" w:rsidR="00A40782" w:rsidRPr="007A403D" w:rsidRDefault="00A40782" w:rsidP="00A40782">
            <w:pPr>
              <w:ind w:left="603"/>
              <w:rPr>
                <w:rFonts w:cstheme="minorHAnsi"/>
                <w:lang w:val="nl-BE"/>
              </w:rPr>
            </w:pPr>
          </w:p>
        </w:tc>
        <w:tc>
          <w:tcPr>
            <w:tcW w:w="1439" w:type="dxa"/>
          </w:tcPr>
          <w:p w14:paraId="45037BFC" w14:textId="529CC272" w:rsidR="00A40782" w:rsidRPr="007A403D" w:rsidRDefault="00A40782" w:rsidP="002B0CA6">
            <w:pPr>
              <w:rPr>
                <w:rFonts w:cstheme="minorHAnsi"/>
                <w:u w:val="single"/>
                <w:lang w:val="nl-BE"/>
              </w:rPr>
            </w:pPr>
            <w:r>
              <w:rPr>
                <w:rFonts w:cstheme="minorHAnsi"/>
                <w:u w:val="single"/>
                <w:lang w:val="nl-BE"/>
              </w:rPr>
              <w:t>Platform</w:t>
            </w:r>
          </w:p>
        </w:tc>
      </w:tr>
    </w:tbl>
    <w:p w14:paraId="0EABBE6D" w14:textId="77777777" w:rsidR="002B0CA6" w:rsidRPr="007A403D" w:rsidRDefault="002B0CA6" w:rsidP="002B0CA6">
      <w:pPr>
        <w:spacing w:after="0"/>
        <w:rPr>
          <w:rFonts w:cstheme="minorHAnsi"/>
          <w:lang w:val="nl-BE"/>
        </w:rPr>
      </w:pPr>
    </w:p>
    <w:tbl>
      <w:tblPr>
        <w:tblStyle w:val="Grilledutableau"/>
        <w:tblW w:w="13036" w:type="dxa"/>
        <w:tblLook w:val="06A0" w:firstRow="1" w:lastRow="0" w:firstColumn="1" w:lastColumn="0" w:noHBand="1" w:noVBand="1"/>
      </w:tblPr>
      <w:tblGrid>
        <w:gridCol w:w="1838"/>
        <w:gridCol w:w="11198"/>
      </w:tblGrid>
      <w:tr w:rsidR="002B0CA6" w:rsidRPr="00A40782" w14:paraId="7A9D4A78" w14:textId="77777777" w:rsidTr="0084510E">
        <w:tc>
          <w:tcPr>
            <w:tcW w:w="1838" w:type="dxa"/>
            <w:tcBorders>
              <w:top w:val="single" w:sz="4" w:space="0" w:color="auto"/>
              <w:left w:val="single" w:sz="4" w:space="0" w:color="auto"/>
              <w:bottom w:val="single" w:sz="4" w:space="0" w:color="auto"/>
              <w:right w:val="single" w:sz="4" w:space="0" w:color="auto"/>
            </w:tcBorders>
            <w:hideMark/>
          </w:tcPr>
          <w:p w14:paraId="6DB507CE" w14:textId="77777777" w:rsidR="002B0CA6" w:rsidRPr="007A403D" w:rsidRDefault="0084510E" w:rsidP="002B0CA6">
            <w:pPr>
              <w:rPr>
                <w:rFonts w:cstheme="minorHAnsi"/>
                <w:b/>
                <w:bCs/>
                <w:lang w:val="fr-BE"/>
              </w:rPr>
            </w:pPr>
            <w:r w:rsidRPr="007A403D">
              <w:rPr>
                <w:rFonts w:cstheme="minorHAnsi"/>
                <w:b/>
                <w:bCs/>
                <w:lang w:val="fr-BE"/>
              </w:rPr>
              <w:t>Toevoeging</w:t>
            </w:r>
            <w:r w:rsidR="002B0CA6" w:rsidRPr="007A403D">
              <w:rPr>
                <w:rFonts w:cstheme="minorHAnsi"/>
                <w:b/>
                <w:bCs/>
                <w:lang w:val="fr-BE"/>
              </w:rPr>
              <w:t xml:space="preserve"> 1</w:t>
            </w:r>
          </w:p>
        </w:tc>
        <w:tc>
          <w:tcPr>
            <w:tcW w:w="11198" w:type="dxa"/>
            <w:tcBorders>
              <w:top w:val="single" w:sz="4" w:space="0" w:color="auto"/>
              <w:left w:val="single" w:sz="4" w:space="0" w:color="auto"/>
              <w:bottom w:val="single" w:sz="4" w:space="0" w:color="auto"/>
              <w:right w:val="single" w:sz="4" w:space="0" w:color="auto"/>
            </w:tcBorders>
            <w:hideMark/>
          </w:tcPr>
          <w:p w14:paraId="7E164363" w14:textId="77777777" w:rsidR="002B0CA6" w:rsidRPr="007A403D" w:rsidRDefault="0084510E" w:rsidP="002B0CA6">
            <w:pPr>
              <w:rPr>
                <w:rFonts w:cstheme="minorHAnsi"/>
                <w:b/>
                <w:bCs/>
                <w:lang w:val="nl-BE"/>
              </w:rPr>
            </w:pPr>
            <w:r w:rsidRPr="007A403D">
              <w:rPr>
                <w:rFonts w:cstheme="minorHAnsi"/>
                <w:b/>
                <w:bCs/>
                <w:lang w:val="nl-BE"/>
              </w:rPr>
              <w:t>Andere onderwerpen die niet in de “List of Issues” zijn opgenomen, maar die het BDF graag behandeld zou zien</w:t>
            </w:r>
          </w:p>
          <w:p w14:paraId="54F94A1E" w14:textId="58A99DC4" w:rsidR="00835754" w:rsidRPr="007A403D" w:rsidRDefault="00835754" w:rsidP="002B0CA6">
            <w:pPr>
              <w:rPr>
                <w:rFonts w:cstheme="minorHAnsi"/>
                <w:b/>
                <w:bCs/>
                <w:lang w:val="nl-BE"/>
              </w:rPr>
            </w:pPr>
          </w:p>
        </w:tc>
      </w:tr>
      <w:tr w:rsidR="002B0CA6" w:rsidRPr="00A40782" w14:paraId="0B83D3F3" w14:textId="77777777" w:rsidTr="006637E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F3EDB2C" w14:textId="77777777" w:rsidR="002B0CA6" w:rsidRPr="007A403D" w:rsidRDefault="002B0CA6" w:rsidP="002B0CA6">
            <w:pPr>
              <w:rPr>
                <w:rFonts w:cstheme="minorHAnsi"/>
                <w:lang w:val="nl-BE"/>
              </w:rPr>
            </w:pPr>
          </w:p>
        </w:tc>
        <w:tc>
          <w:tcPr>
            <w:tcW w:w="1119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96B114F" w14:textId="1D5B76FD" w:rsidR="002B0CA6" w:rsidRPr="007A403D" w:rsidRDefault="002B0CA6" w:rsidP="009A6361">
            <w:pPr>
              <w:rPr>
                <w:rFonts w:cstheme="minorHAnsi"/>
                <w:lang w:val="nl-BE"/>
              </w:rPr>
            </w:pPr>
          </w:p>
        </w:tc>
      </w:tr>
      <w:tr w:rsidR="002B0CA6" w:rsidRPr="00A40782" w14:paraId="7F6A4556" w14:textId="77777777" w:rsidTr="0084510E">
        <w:tc>
          <w:tcPr>
            <w:tcW w:w="1838" w:type="dxa"/>
            <w:tcBorders>
              <w:top w:val="single" w:sz="4" w:space="0" w:color="auto"/>
              <w:left w:val="single" w:sz="4" w:space="0" w:color="auto"/>
              <w:bottom w:val="single" w:sz="4" w:space="0" w:color="auto"/>
              <w:right w:val="single" w:sz="4" w:space="0" w:color="auto"/>
            </w:tcBorders>
            <w:hideMark/>
          </w:tcPr>
          <w:p w14:paraId="5B66D95B" w14:textId="77777777" w:rsidR="002B0CA6" w:rsidRPr="007A403D" w:rsidRDefault="0084510E" w:rsidP="002B0CA6">
            <w:pPr>
              <w:rPr>
                <w:rFonts w:cstheme="minorHAnsi"/>
                <w:b/>
                <w:bCs/>
                <w:lang w:val="fr-BE"/>
              </w:rPr>
            </w:pPr>
            <w:r w:rsidRPr="007A403D">
              <w:rPr>
                <w:rFonts w:cstheme="minorHAnsi"/>
                <w:b/>
                <w:bCs/>
                <w:lang w:val="fr-BE"/>
              </w:rPr>
              <w:t>Toevoeging</w:t>
            </w:r>
            <w:r w:rsidR="002B0CA6" w:rsidRPr="007A403D">
              <w:rPr>
                <w:rFonts w:cstheme="minorHAnsi"/>
                <w:b/>
                <w:bCs/>
                <w:lang w:val="fr-BE"/>
              </w:rPr>
              <w:t xml:space="preserve"> 2</w:t>
            </w:r>
          </w:p>
        </w:tc>
        <w:tc>
          <w:tcPr>
            <w:tcW w:w="11198" w:type="dxa"/>
            <w:tcBorders>
              <w:top w:val="single" w:sz="4" w:space="0" w:color="auto"/>
              <w:left w:val="single" w:sz="4" w:space="0" w:color="auto"/>
              <w:bottom w:val="single" w:sz="4" w:space="0" w:color="auto"/>
              <w:right w:val="single" w:sz="4" w:space="0" w:color="auto"/>
            </w:tcBorders>
            <w:hideMark/>
          </w:tcPr>
          <w:p w14:paraId="0238F88C" w14:textId="77777777" w:rsidR="002B0CA6" w:rsidRPr="007A403D" w:rsidRDefault="0084510E" w:rsidP="002B0CA6">
            <w:pPr>
              <w:rPr>
                <w:rFonts w:cstheme="minorHAnsi"/>
                <w:b/>
                <w:bCs/>
                <w:lang w:val="nl-BE"/>
              </w:rPr>
            </w:pPr>
            <w:r w:rsidRPr="007A403D">
              <w:rPr>
                <w:rFonts w:cstheme="minorHAnsi"/>
                <w:b/>
                <w:bCs/>
                <w:lang w:val="nl-BE"/>
              </w:rPr>
              <w:t>Gevolgen van de Covid-19-crisis voor de situatie van personen met een handicap</w:t>
            </w:r>
          </w:p>
          <w:p w14:paraId="13AD6E39" w14:textId="37242F57" w:rsidR="00835754" w:rsidRPr="007A403D" w:rsidRDefault="00835754" w:rsidP="002B0CA6">
            <w:pPr>
              <w:rPr>
                <w:rFonts w:cstheme="minorHAnsi"/>
                <w:b/>
                <w:bCs/>
                <w:lang w:val="nl-BE"/>
              </w:rPr>
            </w:pPr>
          </w:p>
        </w:tc>
      </w:tr>
      <w:tr w:rsidR="002B0CA6" w:rsidRPr="00A40782" w14:paraId="760896D2" w14:textId="77777777" w:rsidTr="0084510E">
        <w:tc>
          <w:tcPr>
            <w:tcW w:w="1838" w:type="dxa"/>
            <w:tcBorders>
              <w:top w:val="single" w:sz="4" w:space="0" w:color="auto"/>
              <w:left w:val="single" w:sz="4" w:space="0" w:color="auto"/>
              <w:bottom w:val="single" w:sz="4" w:space="0" w:color="auto"/>
              <w:right w:val="single" w:sz="4" w:space="0" w:color="auto"/>
            </w:tcBorders>
          </w:tcPr>
          <w:p w14:paraId="2AF30322" w14:textId="77777777" w:rsidR="002B0CA6" w:rsidRPr="007A403D" w:rsidRDefault="002B0CA6" w:rsidP="002B0CA6">
            <w:pPr>
              <w:rPr>
                <w:rFonts w:cstheme="minorHAnsi"/>
                <w:lang w:val="nl-BE"/>
              </w:rPr>
            </w:pPr>
          </w:p>
        </w:tc>
        <w:tc>
          <w:tcPr>
            <w:tcW w:w="11198" w:type="dxa"/>
            <w:tcBorders>
              <w:top w:val="single" w:sz="4" w:space="0" w:color="auto"/>
              <w:left w:val="single" w:sz="4" w:space="0" w:color="auto"/>
              <w:bottom w:val="single" w:sz="4" w:space="0" w:color="auto"/>
              <w:right w:val="single" w:sz="4" w:space="0" w:color="auto"/>
            </w:tcBorders>
          </w:tcPr>
          <w:p w14:paraId="6E22A90F" w14:textId="75895EF4" w:rsidR="006159C4" w:rsidRPr="007A403D" w:rsidRDefault="006159C4" w:rsidP="006159C4">
            <w:pPr>
              <w:rPr>
                <w:rFonts w:cstheme="minorHAnsi"/>
                <w:lang w:val="nl-BE"/>
              </w:rPr>
            </w:pPr>
            <w:r w:rsidRPr="007A403D">
              <w:rPr>
                <w:rFonts w:cstheme="minorHAnsi"/>
                <w:lang w:val="nl-BE"/>
              </w:rPr>
              <w:t>In de context van de COVID-19-crisis vreest het BDF dat de situaties van isolement, zowel in het institutionele kader als in het gemeenschapsleven, van die aard waren dat de identificatie van misbruik en zelfs geweld nog ingewikkelder is geworden.</w:t>
            </w:r>
          </w:p>
          <w:p w14:paraId="320CBD10" w14:textId="77777777" w:rsidR="000265D9" w:rsidRPr="007A403D" w:rsidRDefault="000265D9" w:rsidP="006159C4">
            <w:pPr>
              <w:rPr>
                <w:rFonts w:cstheme="minorHAnsi"/>
                <w:lang w:val="nl-BE"/>
              </w:rPr>
            </w:pPr>
          </w:p>
          <w:p w14:paraId="30E8FEF2" w14:textId="77777777" w:rsidR="0037152E" w:rsidRPr="007A403D" w:rsidRDefault="006159C4" w:rsidP="006159C4">
            <w:pPr>
              <w:rPr>
                <w:rFonts w:cstheme="minorHAnsi"/>
                <w:lang w:val="nl-BE"/>
              </w:rPr>
            </w:pPr>
            <w:r w:rsidRPr="007A403D">
              <w:rPr>
                <w:rFonts w:cstheme="minorHAnsi"/>
                <w:lang w:val="nl-BE"/>
              </w:rPr>
              <w:t>Moeten de autoriteiten na de Covid-19-crisis geen systematisch psychologisch werk (discussiegroep of een soortgelijk proces) opzetten met mensen die in instellingen wonen om hen in staat te stellen uit te drukken wat ze hebben meegemaakt? Een dergelijke procedure zou het mogelijk kunnen maken om mogelijke blokkades op te sporen en indien nodig individueel psychologisch werk te initiëren.</w:t>
            </w:r>
          </w:p>
          <w:p w14:paraId="47CBF1D0" w14:textId="03D22BDA" w:rsidR="000265D9" w:rsidRPr="007A403D" w:rsidRDefault="000265D9" w:rsidP="006159C4">
            <w:pPr>
              <w:rPr>
                <w:rFonts w:cstheme="minorHAnsi"/>
                <w:lang w:val="nl-BE"/>
              </w:rPr>
            </w:pPr>
          </w:p>
        </w:tc>
      </w:tr>
    </w:tbl>
    <w:p w14:paraId="428EE376" w14:textId="77777777" w:rsidR="002B0CA6" w:rsidRPr="007A403D" w:rsidRDefault="002B0CA6" w:rsidP="00D71680">
      <w:pPr>
        <w:rPr>
          <w:rFonts w:cstheme="minorHAnsi"/>
          <w:lang w:val="nl-BE"/>
        </w:rPr>
      </w:pPr>
    </w:p>
    <w:sectPr w:rsidR="002B0CA6" w:rsidRPr="007A403D" w:rsidSect="002B0CA6">
      <w:endnotePr>
        <w:numFmt w:val="decimal"/>
      </w:endnotePr>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F599" w14:textId="77777777" w:rsidR="00D71680" w:rsidRDefault="00D71680" w:rsidP="00D71680">
      <w:pPr>
        <w:spacing w:after="0" w:line="240" w:lineRule="auto"/>
      </w:pPr>
      <w:r>
        <w:separator/>
      </w:r>
    </w:p>
  </w:endnote>
  <w:endnote w:type="continuationSeparator" w:id="0">
    <w:p w14:paraId="17EDFDDC" w14:textId="77777777" w:rsidR="00D71680" w:rsidRDefault="00D71680" w:rsidP="00D7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FB56" w14:textId="77777777" w:rsidR="00D71680" w:rsidRDefault="00D71680" w:rsidP="00D71680">
      <w:pPr>
        <w:spacing w:after="0" w:line="240" w:lineRule="auto"/>
      </w:pPr>
      <w:r>
        <w:separator/>
      </w:r>
    </w:p>
  </w:footnote>
  <w:footnote w:type="continuationSeparator" w:id="0">
    <w:p w14:paraId="55FC34BD" w14:textId="77777777" w:rsidR="00D71680" w:rsidRDefault="00D71680" w:rsidP="00D71680">
      <w:pPr>
        <w:spacing w:after="0" w:line="240" w:lineRule="auto"/>
      </w:pPr>
      <w:r>
        <w:continuationSeparator/>
      </w:r>
    </w:p>
  </w:footnote>
  <w:footnote w:id="1">
    <w:p w14:paraId="7B458269" w14:textId="56332763" w:rsidR="006159C4" w:rsidRPr="00BC3BDF" w:rsidRDefault="006159C4" w:rsidP="006159C4">
      <w:pPr>
        <w:pStyle w:val="Notedebasdepage"/>
        <w:rPr>
          <w:lang w:val="nl-BE"/>
        </w:rPr>
      </w:pPr>
      <w:r>
        <w:rPr>
          <w:rStyle w:val="Appelnotedebasdep"/>
        </w:rPr>
        <w:footnoteRef/>
      </w:r>
      <w:r w:rsidRPr="00BC3BDF">
        <w:rPr>
          <w:lang w:val="nl-BE"/>
        </w:rPr>
        <w:t xml:space="preserve"> Dr. Tina GOETHALS, Prof. Dr. Geert VAN HOVE, Prof. Dr. Freya VANDER LAENEN, </w:t>
      </w:r>
      <w:r w:rsidRPr="00BC3BDF">
        <w:rPr>
          <w:i/>
          <w:lang w:val="nl-BE"/>
        </w:rPr>
        <w:t>Onderzoek in opdracht van Vlaams Minister van Gelijke Kansen in de periode 2014-2019</w:t>
      </w:r>
      <w:r w:rsidRPr="00BC3BDF">
        <w:rPr>
          <w:lang w:val="nl-BE"/>
        </w:rPr>
        <w:t>, Gent, 2018.</w:t>
      </w:r>
    </w:p>
  </w:footnote>
  <w:footnote w:id="2">
    <w:p w14:paraId="7343639C" w14:textId="77777777" w:rsidR="006159C4" w:rsidRPr="00BC3BDF" w:rsidRDefault="006159C4" w:rsidP="006159C4">
      <w:pPr>
        <w:pStyle w:val="Notedebasdepage"/>
        <w:rPr>
          <w:lang w:val="fr-BE"/>
        </w:rPr>
      </w:pPr>
      <w:r>
        <w:rPr>
          <w:rStyle w:val="Appelnotedebasdep"/>
        </w:rPr>
        <w:footnoteRef/>
      </w:r>
      <w:r w:rsidRPr="00BC3BDF">
        <w:rPr>
          <w:lang w:val="fr-BE"/>
        </w:rPr>
        <w:t xml:space="preserve"> Servais (L.), Leach (R.), Jacques (D.) et Rousseaux (J.-P.), </w:t>
      </w:r>
      <w:r w:rsidRPr="00BC3BDF">
        <w:rPr>
          <w:i/>
          <w:iCs/>
          <w:lang w:val="fr-BE"/>
        </w:rPr>
        <w:t xml:space="preserve">Sterilisation of intellectualy disabled women, </w:t>
      </w:r>
      <w:r w:rsidRPr="00BC3BDF">
        <w:rPr>
          <w:lang w:val="fr-BE"/>
        </w:rPr>
        <w:t xml:space="preserve">dans </w:t>
      </w:r>
      <w:r w:rsidRPr="00BC3BDF">
        <w:rPr>
          <w:i/>
          <w:iCs/>
          <w:lang w:val="fr-BE"/>
        </w:rPr>
        <w:t>European Psychiatry</w:t>
      </w:r>
      <w:r w:rsidRPr="00BC3BDF">
        <w:rPr>
          <w:lang w:val="fr-BE"/>
        </w:rPr>
        <w:t>, 2004, p.428-432</w:t>
      </w:r>
      <w:hyperlink r:id="rId1">
        <w:r w:rsidRPr="00BC3BDF">
          <w:rPr>
            <w:rStyle w:val="Lienhypertexte"/>
            <w:lang w:val="fr-BE"/>
          </w:rPr>
          <w:t xml:space="preserve"> (http://www.ncbi.nlm.nih.gov/pubmed/15504650.</w:t>
        </w:r>
      </w:hyperlink>
    </w:p>
    <w:p w14:paraId="7B515E9D" w14:textId="77777777" w:rsidR="006159C4" w:rsidRPr="00BC3BDF" w:rsidRDefault="006159C4" w:rsidP="006159C4">
      <w:pPr>
        <w:pStyle w:val="Notedebasdepage"/>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AC"/>
    <w:multiLevelType w:val="hybridMultilevel"/>
    <w:tmpl w:val="A232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0707"/>
    <w:multiLevelType w:val="hybridMultilevel"/>
    <w:tmpl w:val="15A83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70C72"/>
    <w:multiLevelType w:val="hybridMultilevel"/>
    <w:tmpl w:val="20DCE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11E"/>
    <w:multiLevelType w:val="hybridMultilevel"/>
    <w:tmpl w:val="2DE4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649F9"/>
    <w:multiLevelType w:val="hybridMultilevel"/>
    <w:tmpl w:val="348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F495C"/>
    <w:multiLevelType w:val="hybridMultilevel"/>
    <w:tmpl w:val="7AAA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556E1"/>
    <w:multiLevelType w:val="hybridMultilevel"/>
    <w:tmpl w:val="D63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B4315"/>
    <w:multiLevelType w:val="hybridMultilevel"/>
    <w:tmpl w:val="5C28E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216AC9"/>
    <w:multiLevelType w:val="hybridMultilevel"/>
    <w:tmpl w:val="B192C5D2"/>
    <w:lvl w:ilvl="0" w:tplc="B5F28400">
      <w:start w:val="1"/>
      <w:numFmt w:val="bullet"/>
      <w:lvlText w:val="-"/>
      <w:lvlJc w:val="left"/>
      <w:pPr>
        <w:ind w:left="1635" w:hanging="360"/>
      </w:pPr>
      <w:rPr>
        <w:rFonts w:ascii="Verdana" w:eastAsia="Calibri" w:hAnsi="Verdana" w:cs="Calibri" w:hint="default"/>
        <w:color w:val="auto"/>
        <w:sz w:val="20"/>
        <w:szCs w:val="20"/>
      </w:rPr>
    </w:lvl>
    <w:lvl w:ilvl="1" w:tplc="08130003">
      <w:start w:val="1"/>
      <w:numFmt w:val="bullet"/>
      <w:lvlText w:val="o"/>
      <w:lvlJc w:val="left"/>
      <w:pPr>
        <w:ind w:left="2355" w:hanging="360"/>
      </w:pPr>
      <w:rPr>
        <w:rFonts w:ascii="Courier New" w:hAnsi="Courier New" w:cs="Courier New" w:hint="default"/>
      </w:rPr>
    </w:lvl>
    <w:lvl w:ilvl="2" w:tplc="08130005" w:tentative="1">
      <w:start w:val="1"/>
      <w:numFmt w:val="bullet"/>
      <w:lvlText w:val=""/>
      <w:lvlJc w:val="left"/>
      <w:pPr>
        <w:ind w:left="3075" w:hanging="360"/>
      </w:pPr>
      <w:rPr>
        <w:rFonts w:ascii="Wingdings" w:hAnsi="Wingdings" w:hint="default"/>
      </w:rPr>
    </w:lvl>
    <w:lvl w:ilvl="3" w:tplc="08130001" w:tentative="1">
      <w:start w:val="1"/>
      <w:numFmt w:val="bullet"/>
      <w:lvlText w:val=""/>
      <w:lvlJc w:val="left"/>
      <w:pPr>
        <w:ind w:left="3795" w:hanging="360"/>
      </w:pPr>
      <w:rPr>
        <w:rFonts w:ascii="Symbol" w:hAnsi="Symbol" w:hint="default"/>
      </w:rPr>
    </w:lvl>
    <w:lvl w:ilvl="4" w:tplc="08130003" w:tentative="1">
      <w:start w:val="1"/>
      <w:numFmt w:val="bullet"/>
      <w:lvlText w:val="o"/>
      <w:lvlJc w:val="left"/>
      <w:pPr>
        <w:ind w:left="4515" w:hanging="360"/>
      </w:pPr>
      <w:rPr>
        <w:rFonts w:ascii="Courier New" w:hAnsi="Courier New" w:cs="Courier New" w:hint="default"/>
      </w:rPr>
    </w:lvl>
    <w:lvl w:ilvl="5" w:tplc="08130005" w:tentative="1">
      <w:start w:val="1"/>
      <w:numFmt w:val="bullet"/>
      <w:lvlText w:val=""/>
      <w:lvlJc w:val="left"/>
      <w:pPr>
        <w:ind w:left="5235" w:hanging="360"/>
      </w:pPr>
      <w:rPr>
        <w:rFonts w:ascii="Wingdings" w:hAnsi="Wingdings" w:hint="default"/>
      </w:rPr>
    </w:lvl>
    <w:lvl w:ilvl="6" w:tplc="08130001" w:tentative="1">
      <w:start w:val="1"/>
      <w:numFmt w:val="bullet"/>
      <w:lvlText w:val=""/>
      <w:lvlJc w:val="left"/>
      <w:pPr>
        <w:ind w:left="5955" w:hanging="360"/>
      </w:pPr>
      <w:rPr>
        <w:rFonts w:ascii="Symbol" w:hAnsi="Symbol" w:hint="default"/>
      </w:rPr>
    </w:lvl>
    <w:lvl w:ilvl="7" w:tplc="08130003" w:tentative="1">
      <w:start w:val="1"/>
      <w:numFmt w:val="bullet"/>
      <w:lvlText w:val="o"/>
      <w:lvlJc w:val="left"/>
      <w:pPr>
        <w:ind w:left="6675" w:hanging="360"/>
      </w:pPr>
      <w:rPr>
        <w:rFonts w:ascii="Courier New" w:hAnsi="Courier New" w:cs="Courier New" w:hint="default"/>
      </w:rPr>
    </w:lvl>
    <w:lvl w:ilvl="8" w:tplc="08130005" w:tentative="1">
      <w:start w:val="1"/>
      <w:numFmt w:val="bullet"/>
      <w:lvlText w:val=""/>
      <w:lvlJc w:val="left"/>
      <w:pPr>
        <w:ind w:left="7395" w:hanging="360"/>
      </w:pPr>
      <w:rPr>
        <w:rFonts w:ascii="Wingdings" w:hAnsi="Wingdings" w:hint="default"/>
      </w:rPr>
    </w:lvl>
  </w:abstractNum>
  <w:abstractNum w:abstractNumId="9" w15:restartNumberingAfterBreak="0">
    <w:nsid w:val="37F04036"/>
    <w:multiLevelType w:val="hybridMultilevel"/>
    <w:tmpl w:val="A5E83EF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38BE05C8"/>
    <w:multiLevelType w:val="hybridMultilevel"/>
    <w:tmpl w:val="124C6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66FA9"/>
    <w:multiLevelType w:val="hybridMultilevel"/>
    <w:tmpl w:val="3618A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03E41"/>
    <w:multiLevelType w:val="hybridMultilevel"/>
    <w:tmpl w:val="1E920784"/>
    <w:lvl w:ilvl="0" w:tplc="A8F2C6F4">
      <w:start w:val="1"/>
      <w:numFmt w:val="bullet"/>
      <w:lvlText w:val=""/>
      <w:lvlJc w:val="left"/>
      <w:pPr>
        <w:ind w:left="720" w:hanging="360"/>
      </w:pPr>
      <w:rPr>
        <w:rFonts w:ascii="Symbol" w:hAnsi="Symbol" w:hint="default"/>
      </w:rPr>
    </w:lvl>
    <w:lvl w:ilvl="1" w:tplc="F20A3380">
      <w:start w:val="1"/>
      <w:numFmt w:val="bullet"/>
      <w:lvlText w:val="o"/>
      <w:lvlJc w:val="left"/>
      <w:pPr>
        <w:ind w:left="1440" w:hanging="360"/>
      </w:pPr>
      <w:rPr>
        <w:rFonts w:ascii="Courier New" w:hAnsi="Courier New" w:hint="default"/>
      </w:rPr>
    </w:lvl>
    <w:lvl w:ilvl="2" w:tplc="424005C8">
      <w:start w:val="1"/>
      <w:numFmt w:val="bullet"/>
      <w:lvlText w:val=""/>
      <w:lvlJc w:val="left"/>
      <w:pPr>
        <w:ind w:left="2160" w:hanging="360"/>
      </w:pPr>
      <w:rPr>
        <w:rFonts w:ascii="Wingdings" w:hAnsi="Wingdings" w:hint="default"/>
      </w:rPr>
    </w:lvl>
    <w:lvl w:ilvl="3" w:tplc="3506B282">
      <w:start w:val="1"/>
      <w:numFmt w:val="bullet"/>
      <w:lvlText w:val=""/>
      <w:lvlJc w:val="left"/>
      <w:pPr>
        <w:ind w:left="2880" w:hanging="360"/>
      </w:pPr>
      <w:rPr>
        <w:rFonts w:ascii="Symbol" w:hAnsi="Symbol" w:hint="default"/>
      </w:rPr>
    </w:lvl>
    <w:lvl w:ilvl="4" w:tplc="B072775A">
      <w:start w:val="1"/>
      <w:numFmt w:val="bullet"/>
      <w:lvlText w:val="o"/>
      <w:lvlJc w:val="left"/>
      <w:pPr>
        <w:ind w:left="3600" w:hanging="360"/>
      </w:pPr>
      <w:rPr>
        <w:rFonts w:ascii="Courier New" w:hAnsi="Courier New" w:hint="default"/>
      </w:rPr>
    </w:lvl>
    <w:lvl w:ilvl="5" w:tplc="47C4A87A">
      <w:start w:val="1"/>
      <w:numFmt w:val="bullet"/>
      <w:lvlText w:val=""/>
      <w:lvlJc w:val="left"/>
      <w:pPr>
        <w:ind w:left="4320" w:hanging="360"/>
      </w:pPr>
      <w:rPr>
        <w:rFonts w:ascii="Wingdings" w:hAnsi="Wingdings" w:hint="default"/>
      </w:rPr>
    </w:lvl>
    <w:lvl w:ilvl="6" w:tplc="C3F635F0">
      <w:start w:val="1"/>
      <w:numFmt w:val="bullet"/>
      <w:lvlText w:val=""/>
      <w:lvlJc w:val="left"/>
      <w:pPr>
        <w:ind w:left="5040" w:hanging="360"/>
      </w:pPr>
      <w:rPr>
        <w:rFonts w:ascii="Symbol" w:hAnsi="Symbol" w:hint="default"/>
      </w:rPr>
    </w:lvl>
    <w:lvl w:ilvl="7" w:tplc="8B0E22A6">
      <w:start w:val="1"/>
      <w:numFmt w:val="bullet"/>
      <w:lvlText w:val="o"/>
      <w:lvlJc w:val="left"/>
      <w:pPr>
        <w:ind w:left="5760" w:hanging="360"/>
      </w:pPr>
      <w:rPr>
        <w:rFonts w:ascii="Courier New" w:hAnsi="Courier New" w:hint="default"/>
      </w:rPr>
    </w:lvl>
    <w:lvl w:ilvl="8" w:tplc="94B2F82A">
      <w:start w:val="1"/>
      <w:numFmt w:val="bullet"/>
      <w:lvlText w:val=""/>
      <w:lvlJc w:val="left"/>
      <w:pPr>
        <w:ind w:left="6480" w:hanging="360"/>
      </w:pPr>
      <w:rPr>
        <w:rFonts w:ascii="Wingdings" w:hAnsi="Wingdings" w:hint="default"/>
      </w:rPr>
    </w:lvl>
  </w:abstractNum>
  <w:abstractNum w:abstractNumId="13" w15:restartNumberingAfterBreak="0">
    <w:nsid w:val="41F21E9B"/>
    <w:multiLevelType w:val="hybridMultilevel"/>
    <w:tmpl w:val="0E0A0050"/>
    <w:lvl w:ilvl="0" w:tplc="3AA40084">
      <w:numFmt w:val="bullet"/>
      <w:lvlText w:val="-"/>
      <w:lvlJc w:val="left"/>
      <w:pPr>
        <w:ind w:left="720" w:hanging="360"/>
      </w:pPr>
      <w:rPr>
        <w:rFonts w:ascii="Verdana" w:eastAsia="Calibri" w:hAnsi="Verdana"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42851B0C"/>
    <w:multiLevelType w:val="hybridMultilevel"/>
    <w:tmpl w:val="9B82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B160E4"/>
    <w:multiLevelType w:val="hybridMultilevel"/>
    <w:tmpl w:val="186A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56CD4"/>
    <w:multiLevelType w:val="hybridMultilevel"/>
    <w:tmpl w:val="650E5F68"/>
    <w:lvl w:ilvl="0" w:tplc="3FA88BC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614431EF"/>
    <w:multiLevelType w:val="hybridMultilevel"/>
    <w:tmpl w:val="A02A0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4179C"/>
    <w:multiLevelType w:val="hybridMultilevel"/>
    <w:tmpl w:val="C69A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E2558"/>
    <w:multiLevelType w:val="hybridMultilevel"/>
    <w:tmpl w:val="9588E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C4347"/>
    <w:multiLevelType w:val="hybridMultilevel"/>
    <w:tmpl w:val="7D8039F8"/>
    <w:lvl w:ilvl="0" w:tplc="52BA1EC8">
      <w:start w:val="1"/>
      <w:numFmt w:val="bullet"/>
      <w:lvlText w:val=""/>
      <w:lvlJc w:val="left"/>
      <w:pPr>
        <w:ind w:left="720" w:hanging="360"/>
      </w:pPr>
      <w:rPr>
        <w:rFonts w:ascii="Symbol" w:hAnsi="Symbol" w:hint="default"/>
      </w:rPr>
    </w:lvl>
    <w:lvl w:ilvl="1" w:tplc="28406566">
      <w:start w:val="1"/>
      <w:numFmt w:val="bullet"/>
      <w:lvlText w:val="o"/>
      <w:lvlJc w:val="left"/>
      <w:pPr>
        <w:ind w:left="1440" w:hanging="360"/>
      </w:pPr>
      <w:rPr>
        <w:rFonts w:ascii="Courier New" w:hAnsi="Courier New" w:hint="default"/>
      </w:rPr>
    </w:lvl>
    <w:lvl w:ilvl="2" w:tplc="6186BC2A">
      <w:start w:val="1"/>
      <w:numFmt w:val="bullet"/>
      <w:lvlText w:val=""/>
      <w:lvlJc w:val="left"/>
      <w:pPr>
        <w:ind w:left="2160" w:hanging="360"/>
      </w:pPr>
      <w:rPr>
        <w:rFonts w:ascii="Wingdings" w:hAnsi="Wingdings" w:hint="default"/>
      </w:rPr>
    </w:lvl>
    <w:lvl w:ilvl="3" w:tplc="3676AF12">
      <w:start w:val="1"/>
      <w:numFmt w:val="bullet"/>
      <w:lvlText w:val=""/>
      <w:lvlJc w:val="left"/>
      <w:pPr>
        <w:ind w:left="2880" w:hanging="360"/>
      </w:pPr>
      <w:rPr>
        <w:rFonts w:ascii="Symbol" w:hAnsi="Symbol" w:hint="default"/>
      </w:rPr>
    </w:lvl>
    <w:lvl w:ilvl="4" w:tplc="CCA0B958">
      <w:start w:val="1"/>
      <w:numFmt w:val="bullet"/>
      <w:lvlText w:val="o"/>
      <w:lvlJc w:val="left"/>
      <w:pPr>
        <w:ind w:left="3600" w:hanging="360"/>
      </w:pPr>
      <w:rPr>
        <w:rFonts w:ascii="Courier New" w:hAnsi="Courier New" w:hint="default"/>
      </w:rPr>
    </w:lvl>
    <w:lvl w:ilvl="5" w:tplc="0D6E9FE4">
      <w:start w:val="1"/>
      <w:numFmt w:val="bullet"/>
      <w:lvlText w:val=""/>
      <w:lvlJc w:val="left"/>
      <w:pPr>
        <w:ind w:left="4320" w:hanging="360"/>
      </w:pPr>
      <w:rPr>
        <w:rFonts w:ascii="Wingdings" w:hAnsi="Wingdings" w:hint="default"/>
      </w:rPr>
    </w:lvl>
    <w:lvl w:ilvl="6" w:tplc="74DC9DBC">
      <w:start w:val="1"/>
      <w:numFmt w:val="bullet"/>
      <w:lvlText w:val=""/>
      <w:lvlJc w:val="left"/>
      <w:pPr>
        <w:ind w:left="5040" w:hanging="360"/>
      </w:pPr>
      <w:rPr>
        <w:rFonts w:ascii="Symbol" w:hAnsi="Symbol" w:hint="default"/>
      </w:rPr>
    </w:lvl>
    <w:lvl w:ilvl="7" w:tplc="AAA0278A">
      <w:start w:val="1"/>
      <w:numFmt w:val="bullet"/>
      <w:lvlText w:val="o"/>
      <w:lvlJc w:val="left"/>
      <w:pPr>
        <w:ind w:left="5760" w:hanging="360"/>
      </w:pPr>
      <w:rPr>
        <w:rFonts w:ascii="Courier New" w:hAnsi="Courier New" w:hint="default"/>
      </w:rPr>
    </w:lvl>
    <w:lvl w:ilvl="8" w:tplc="1D4EBA8E">
      <w:start w:val="1"/>
      <w:numFmt w:val="bullet"/>
      <w:lvlText w:val=""/>
      <w:lvlJc w:val="left"/>
      <w:pPr>
        <w:ind w:left="6480" w:hanging="360"/>
      </w:pPr>
      <w:rPr>
        <w:rFonts w:ascii="Wingdings" w:hAnsi="Wingdings" w:hint="default"/>
      </w:rPr>
    </w:lvl>
  </w:abstractNum>
  <w:abstractNum w:abstractNumId="22" w15:restartNumberingAfterBreak="0">
    <w:nsid w:val="69785BEC"/>
    <w:multiLevelType w:val="hybridMultilevel"/>
    <w:tmpl w:val="6C44E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A002DA"/>
    <w:multiLevelType w:val="hybridMultilevel"/>
    <w:tmpl w:val="3620C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283496">
    <w:abstractNumId w:val="11"/>
  </w:num>
  <w:num w:numId="2" w16cid:durableId="699822373">
    <w:abstractNumId w:val="16"/>
  </w:num>
  <w:num w:numId="3" w16cid:durableId="1021588110">
    <w:abstractNumId w:val="12"/>
  </w:num>
  <w:num w:numId="4" w16cid:durableId="1797794721">
    <w:abstractNumId w:val="21"/>
  </w:num>
  <w:num w:numId="5" w16cid:durableId="669020531">
    <w:abstractNumId w:val="23"/>
  </w:num>
  <w:num w:numId="6" w16cid:durableId="652833066">
    <w:abstractNumId w:val="17"/>
  </w:num>
  <w:num w:numId="7" w16cid:durableId="103887324">
    <w:abstractNumId w:val="14"/>
  </w:num>
  <w:num w:numId="8" w16cid:durableId="116877993">
    <w:abstractNumId w:val="1"/>
  </w:num>
  <w:num w:numId="9" w16cid:durableId="1504852648">
    <w:abstractNumId w:val="9"/>
  </w:num>
  <w:num w:numId="10" w16cid:durableId="1853882725">
    <w:abstractNumId w:val="6"/>
  </w:num>
  <w:num w:numId="11" w16cid:durableId="1420524855">
    <w:abstractNumId w:val="15"/>
  </w:num>
  <w:num w:numId="12" w16cid:durableId="649334070">
    <w:abstractNumId w:val="0"/>
  </w:num>
  <w:num w:numId="13" w16cid:durableId="1188256170">
    <w:abstractNumId w:val="7"/>
  </w:num>
  <w:num w:numId="14" w16cid:durableId="1433550304">
    <w:abstractNumId w:val="22"/>
  </w:num>
  <w:num w:numId="15" w16cid:durableId="695039011">
    <w:abstractNumId w:val="19"/>
  </w:num>
  <w:num w:numId="16" w16cid:durableId="810831163">
    <w:abstractNumId w:val="5"/>
  </w:num>
  <w:num w:numId="17" w16cid:durableId="1991010965">
    <w:abstractNumId w:val="4"/>
  </w:num>
  <w:num w:numId="18" w16cid:durableId="196626055">
    <w:abstractNumId w:val="10"/>
  </w:num>
  <w:num w:numId="19" w16cid:durableId="312635774">
    <w:abstractNumId w:val="18"/>
  </w:num>
  <w:num w:numId="20" w16cid:durableId="320893944">
    <w:abstractNumId w:val="3"/>
  </w:num>
  <w:num w:numId="21" w16cid:durableId="1994987951">
    <w:abstractNumId w:val="20"/>
  </w:num>
  <w:num w:numId="22" w16cid:durableId="1632174510">
    <w:abstractNumId w:val="2"/>
  </w:num>
  <w:num w:numId="23" w16cid:durableId="849494051">
    <w:abstractNumId w:val="13"/>
  </w:num>
  <w:num w:numId="24" w16cid:durableId="12898229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A6"/>
    <w:rsid w:val="000265D9"/>
    <w:rsid w:val="000645E9"/>
    <w:rsid w:val="0009455B"/>
    <w:rsid w:val="00105DF6"/>
    <w:rsid w:val="00110F83"/>
    <w:rsid w:val="00182013"/>
    <w:rsid w:val="00215046"/>
    <w:rsid w:val="002665AF"/>
    <w:rsid w:val="002B0CA6"/>
    <w:rsid w:val="002E4E26"/>
    <w:rsid w:val="00326118"/>
    <w:rsid w:val="00337C29"/>
    <w:rsid w:val="0037152E"/>
    <w:rsid w:val="004418E7"/>
    <w:rsid w:val="004D40A1"/>
    <w:rsid w:val="005C62CF"/>
    <w:rsid w:val="005D11D7"/>
    <w:rsid w:val="005F509D"/>
    <w:rsid w:val="006159C4"/>
    <w:rsid w:val="006637EA"/>
    <w:rsid w:val="006814D3"/>
    <w:rsid w:val="00695D7A"/>
    <w:rsid w:val="00764F25"/>
    <w:rsid w:val="0077009C"/>
    <w:rsid w:val="0077578E"/>
    <w:rsid w:val="00792B7C"/>
    <w:rsid w:val="007A403D"/>
    <w:rsid w:val="007F1F93"/>
    <w:rsid w:val="008204F1"/>
    <w:rsid w:val="00835754"/>
    <w:rsid w:val="0084510E"/>
    <w:rsid w:val="0089297C"/>
    <w:rsid w:val="00896731"/>
    <w:rsid w:val="00943149"/>
    <w:rsid w:val="009A3E80"/>
    <w:rsid w:val="009A6361"/>
    <w:rsid w:val="00A115CC"/>
    <w:rsid w:val="00A40782"/>
    <w:rsid w:val="00A81AE2"/>
    <w:rsid w:val="00AA582B"/>
    <w:rsid w:val="00AE51E2"/>
    <w:rsid w:val="00B07E33"/>
    <w:rsid w:val="00BC3853"/>
    <w:rsid w:val="00BC74B3"/>
    <w:rsid w:val="00D71680"/>
    <w:rsid w:val="00D834FF"/>
    <w:rsid w:val="00DB2529"/>
    <w:rsid w:val="00DD67CC"/>
    <w:rsid w:val="00DE3629"/>
    <w:rsid w:val="00E23147"/>
    <w:rsid w:val="00EA424C"/>
    <w:rsid w:val="00ED28A1"/>
    <w:rsid w:val="00F7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3D93"/>
  <w15:chartTrackingRefBased/>
  <w15:docId w15:val="{0B9C692C-50A6-458D-9149-EA166559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0C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B0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B0CA6"/>
    <w:rPr>
      <w:rFonts w:asciiTheme="majorHAnsi" w:eastAsiaTheme="majorEastAsia" w:hAnsiTheme="majorHAnsi" w:cstheme="majorBidi"/>
      <w:color w:val="2F5496" w:themeColor="accent1" w:themeShade="BF"/>
      <w:sz w:val="32"/>
      <w:szCs w:val="32"/>
    </w:rPr>
  </w:style>
  <w:style w:type="paragraph" w:styleId="Paragraphedeliste">
    <w:name w:val="List Paragraph"/>
    <w:aliases w:val="Lijstalinea §,tiret2"/>
    <w:basedOn w:val="Normal"/>
    <w:link w:val="ParagraphedelisteCar"/>
    <w:uiPriority w:val="34"/>
    <w:qFormat/>
    <w:rsid w:val="002B0CA6"/>
    <w:pPr>
      <w:ind w:left="720"/>
      <w:contextualSpacing/>
    </w:pPr>
  </w:style>
  <w:style w:type="character" w:styleId="Lienhypertexte">
    <w:name w:val="Hyperlink"/>
    <w:basedOn w:val="Policepardfaut"/>
    <w:uiPriority w:val="99"/>
    <w:unhideWhenUsed/>
    <w:rsid w:val="00DE3629"/>
    <w:rPr>
      <w:color w:val="0563C1" w:themeColor="hyperlink"/>
      <w:u w:val="single"/>
    </w:rPr>
  </w:style>
  <w:style w:type="character" w:styleId="Lienhypertextesuivivisit">
    <w:name w:val="FollowedHyperlink"/>
    <w:basedOn w:val="Policepardfaut"/>
    <w:uiPriority w:val="99"/>
    <w:semiHidden/>
    <w:unhideWhenUsed/>
    <w:rsid w:val="00DE3629"/>
    <w:rPr>
      <w:color w:val="954F72" w:themeColor="followedHyperlink"/>
      <w:u w:val="single"/>
    </w:rPr>
  </w:style>
  <w:style w:type="character" w:styleId="Mentionnonrsolue">
    <w:name w:val="Unresolved Mention"/>
    <w:basedOn w:val="Policepardfaut"/>
    <w:uiPriority w:val="99"/>
    <w:semiHidden/>
    <w:unhideWhenUsed/>
    <w:rsid w:val="00764F25"/>
    <w:rPr>
      <w:color w:val="605E5C"/>
      <w:shd w:val="clear" w:color="auto" w:fill="E1DFDD"/>
    </w:rPr>
  </w:style>
  <w:style w:type="paragraph" w:styleId="En-tte">
    <w:name w:val="header"/>
    <w:basedOn w:val="Normal"/>
    <w:link w:val="En-tteCar"/>
    <w:uiPriority w:val="99"/>
    <w:unhideWhenUsed/>
    <w:rsid w:val="00D71680"/>
    <w:pPr>
      <w:tabs>
        <w:tab w:val="center" w:pos="4703"/>
        <w:tab w:val="right" w:pos="9406"/>
      </w:tabs>
      <w:spacing w:after="0" w:line="240" w:lineRule="auto"/>
    </w:pPr>
  </w:style>
  <w:style w:type="character" w:customStyle="1" w:styleId="En-tteCar">
    <w:name w:val="En-tête Car"/>
    <w:basedOn w:val="Policepardfaut"/>
    <w:link w:val="En-tte"/>
    <w:uiPriority w:val="99"/>
    <w:rsid w:val="00D71680"/>
  </w:style>
  <w:style w:type="paragraph" w:styleId="Pieddepage">
    <w:name w:val="footer"/>
    <w:basedOn w:val="Normal"/>
    <w:link w:val="PieddepageCar"/>
    <w:uiPriority w:val="99"/>
    <w:unhideWhenUsed/>
    <w:rsid w:val="00D7168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71680"/>
  </w:style>
  <w:style w:type="paragraph" w:customStyle="1" w:styleId="SingleTxtG">
    <w:name w:val="_ Single Txt_G"/>
    <w:basedOn w:val="Normal"/>
    <w:link w:val="SingleTxtGChar"/>
    <w:qFormat/>
    <w:rsid w:val="0089297C"/>
    <w:pPr>
      <w:suppressAutoHyphens/>
      <w:kinsoku w:val="0"/>
      <w:overflowPunct w:val="0"/>
      <w:autoSpaceDE w:val="0"/>
      <w:autoSpaceDN w:val="0"/>
      <w:spacing w:after="120" w:line="240" w:lineRule="atLeast"/>
      <w:ind w:left="1134" w:right="1134"/>
      <w:jc w:val="both"/>
    </w:pPr>
    <w:rPr>
      <w:rFonts w:ascii="Times New Roman" w:eastAsia="Arial Unicode MS" w:hAnsi="Times New Roman" w:cs="Times New Roman"/>
      <w:sz w:val="20"/>
      <w:szCs w:val="20"/>
      <w:lang w:val="en-GB" w:eastAsia="zh-CN"/>
    </w:rPr>
  </w:style>
  <w:style w:type="character" w:customStyle="1" w:styleId="SingleTxtGChar">
    <w:name w:val="_ Single Txt_G Char"/>
    <w:basedOn w:val="Policepardfaut"/>
    <w:link w:val="SingleTxtG"/>
    <w:rsid w:val="0089297C"/>
    <w:rPr>
      <w:rFonts w:ascii="Times New Roman" w:eastAsia="Arial Unicode MS" w:hAnsi="Times New Roman" w:cs="Times New Roman"/>
      <w:sz w:val="20"/>
      <w:szCs w:val="20"/>
      <w:lang w:val="en-GB" w:eastAsia="zh-CN"/>
    </w:rPr>
  </w:style>
  <w:style w:type="paragraph" w:styleId="Notedebasdepage">
    <w:name w:val="footnote text"/>
    <w:basedOn w:val="Normal"/>
    <w:link w:val="NotedebasdepageCar"/>
    <w:uiPriority w:val="99"/>
    <w:semiHidden/>
    <w:unhideWhenUsed/>
    <w:rsid w:val="00DD67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67CC"/>
    <w:rPr>
      <w:sz w:val="20"/>
      <w:szCs w:val="20"/>
    </w:rPr>
  </w:style>
  <w:style w:type="character" w:styleId="Appelnotedebasdep">
    <w:name w:val="footnote reference"/>
    <w:basedOn w:val="Policepardfaut"/>
    <w:uiPriority w:val="99"/>
    <w:semiHidden/>
    <w:unhideWhenUsed/>
    <w:rsid w:val="00DD67CC"/>
    <w:rPr>
      <w:vertAlign w:val="superscript"/>
    </w:rPr>
  </w:style>
  <w:style w:type="paragraph" w:styleId="Textedebulles">
    <w:name w:val="Balloon Text"/>
    <w:basedOn w:val="Normal"/>
    <w:link w:val="TextedebullesCar"/>
    <w:uiPriority w:val="99"/>
    <w:semiHidden/>
    <w:unhideWhenUsed/>
    <w:rsid w:val="00EA42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424C"/>
    <w:rPr>
      <w:rFonts w:ascii="Segoe UI" w:hAnsi="Segoe UI" w:cs="Segoe UI"/>
      <w:sz w:val="18"/>
      <w:szCs w:val="18"/>
    </w:rPr>
  </w:style>
  <w:style w:type="character" w:styleId="Marquedecommentaire">
    <w:name w:val="annotation reference"/>
    <w:basedOn w:val="Policepardfaut"/>
    <w:uiPriority w:val="99"/>
    <w:semiHidden/>
    <w:unhideWhenUsed/>
    <w:rsid w:val="00EA424C"/>
    <w:rPr>
      <w:sz w:val="16"/>
      <w:szCs w:val="16"/>
    </w:rPr>
  </w:style>
  <w:style w:type="paragraph" w:styleId="Commentaire">
    <w:name w:val="annotation text"/>
    <w:basedOn w:val="Normal"/>
    <w:link w:val="CommentaireCar"/>
    <w:uiPriority w:val="99"/>
    <w:semiHidden/>
    <w:unhideWhenUsed/>
    <w:rsid w:val="00EA424C"/>
    <w:pPr>
      <w:spacing w:line="240" w:lineRule="auto"/>
    </w:pPr>
    <w:rPr>
      <w:sz w:val="20"/>
      <w:szCs w:val="20"/>
    </w:rPr>
  </w:style>
  <w:style w:type="character" w:customStyle="1" w:styleId="CommentaireCar">
    <w:name w:val="Commentaire Car"/>
    <w:basedOn w:val="Policepardfaut"/>
    <w:link w:val="Commentaire"/>
    <w:uiPriority w:val="99"/>
    <w:semiHidden/>
    <w:rsid w:val="00EA424C"/>
    <w:rPr>
      <w:sz w:val="20"/>
      <w:szCs w:val="20"/>
    </w:rPr>
  </w:style>
  <w:style w:type="paragraph" w:styleId="Notedefin">
    <w:name w:val="endnote text"/>
    <w:basedOn w:val="Normal"/>
    <w:link w:val="NotedefinCar"/>
    <w:uiPriority w:val="99"/>
    <w:unhideWhenUsed/>
    <w:rsid w:val="00EA424C"/>
    <w:pPr>
      <w:spacing w:after="0" w:line="240" w:lineRule="auto"/>
    </w:pPr>
    <w:rPr>
      <w:sz w:val="20"/>
      <w:szCs w:val="20"/>
    </w:rPr>
  </w:style>
  <w:style w:type="character" w:customStyle="1" w:styleId="NotedefinCar">
    <w:name w:val="Note de fin Car"/>
    <w:basedOn w:val="Policepardfaut"/>
    <w:link w:val="Notedefin"/>
    <w:uiPriority w:val="99"/>
    <w:rsid w:val="00EA424C"/>
    <w:rPr>
      <w:sz w:val="20"/>
      <w:szCs w:val="20"/>
    </w:rPr>
  </w:style>
  <w:style w:type="character" w:styleId="Appeldenotedefin">
    <w:name w:val="endnote reference"/>
    <w:basedOn w:val="Policepardfaut"/>
    <w:uiPriority w:val="99"/>
    <w:semiHidden/>
    <w:unhideWhenUsed/>
    <w:rsid w:val="00EA424C"/>
    <w:rPr>
      <w:vertAlign w:val="superscript"/>
    </w:rPr>
  </w:style>
  <w:style w:type="character" w:customStyle="1" w:styleId="ParagraphedelisteCar">
    <w:name w:val="Paragraphe de liste Car"/>
    <w:aliases w:val="Lijstalinea § Car,tiret2 Car"/>
    <w:basedOn w:val="Policepardfaut"/>
    <w:link w:val="Paragraphedeliste"/>
    <w:uiPriority w:val="34"/>
    <w:qFormat/>
    <w:locked/>
    <w:rsid w:val="00A4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ubmed/1550465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2</cp:revision>
  <dcterms:created xsi:type="dcterms:W3CDTF">2023-04-24T07:32:00Z</dcterms:created>
  <dcterms:modified xsi:type="dcterms:W3CDTF">2023-04-24T07:32:00Z</dcterms:modified>
</cp:coreProperties>
</file>