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61A3" w14:textId="77777777" w:rsidR="00E57C42" w:rsidRDefault="00E866B6">
      <w:pPr>
        <w:pBdr>
          <w:top w:val="single" w:sz="4" w:space="1" w:color="000000"/>
          <w:left w:val="single" w:sz="4" w:space="4" w:color="000000"/>
          <w:bottom w:val="single" w:sz="4" w:space="1" w:color="000000"/>
          <w:right w:val="single" w:sz="4" w:space="4" w:color="000000"/>
        </w:pBdr>
        <w:jc w:val="center"/>
        <w:rPr>
          <w:rFonts w:cs="Calibri"/>
          <w:b/>
          <w:bCs/>
          <w:lang w:val="fr-BE"/>
        </w:rPr>
      </w:pPr>
      <w:r>
        <w:rPr>
          <w:rFonts w:cs="Calibri"/>
          <w:b/>
          <w:bCs/>
          <w:lang w:val="fr-BE"/>
        </w:rPr>
        <w:t>Fiche 12 : Droits de ne pas être soumis à l’exploitation-fiche-intégration (art.16)</w:t>
      </w:r>
    </w:p>
    <w:tbl>
      <w:tblPr>
        <w:tblW w:w="12996" w:type="dxa"/>
        <w:tblCellMar>
          <w:left w:w="10" w:type="dxa"/>
          <w:right w:w="10" w:type="dxa"/>
        </w:tblCellMar>
        <w:tblLook w:val="0000" w:firstRow="0" w:lastRow="0" w:firstColumn="0" w:lastColumn="0" w:noHBand="0" w:noVBand="0"/>
      </w:tblPr>
      <w:tblGrid>
        <w:gridCol w:w="1413"/>
        <w:gridCol w:w="10206"/>
        <w:gridCol w:w="1377"/>
      </w:tblGrid>
      <w:tr w:rsidR="00E57C42" w14:paraId="21106ED8" w14:textId="77777777">
        <w:tblPrEx>
          <w:tblCellMar>
            <w:top w:w="0" w:type="dxa"/>
            <w:bottom w:w="0" w:type="dxa"/>
          </w:tblCellMar>
        </w:tblPrEx>
        <w:trPr>
          <w:trHeight w:val="347"/>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3E7DC2" w14:textId="77777777" w:rsidR="00E57C42" w:rsidRDefault="00E866B6">
            <w:pPr>
              <w:spacing w:after="0" w:line="240" w:lineRule="auto"/>
              <w:jc w:val="center"/>
              <w:rPr>
                <w:rFonts w:cs="Calibri"/>
                <w:b/>
                <w:bCs/>
                <w:lang w:val="fr-BE"/>
              </w:rPr>
            </w:pPr>
            <w:r>
              <w:rPr>
                <w:rFonts w:cs="Calibri"/>
                <w:b/>
                <w:bCs/>
                <w:lang w:val="fr-BE"/>
              </w:rPr>
              <w:t>N°</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B699F" w14:textId="77777777" w:rsidR="00E57C42" w:rsidRDefault="00E866B6">
            <w:pPr>
              <w:spacing w:after="0" w:line="240" w:lineRule="auto"/>
              <w:jc w:val="center"/>
              <w:rPr>
                <w:rFonts w:cs="Calibri"/>
                <w:b/>
                <w:bCs/>
                <w:lang w:val="fr-BE"/>
              </w:rPr>
            </w:pPr>
            <w:r>
              <w:rPr>
                <w:rFonts w:cs="Calibri"/>
                <w:b/>
                <w:bCs/>
                <w:lang w:val="fr-BE"/>
              </w:rPr>
              <w:t xml:space="preserve">Pour rapport alternatif du BDF </w:t>
            </w: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FD30C" w14:textId="77777777" w:rsidR="00E57C42" w:rsidRDefault="00E866B6">
            <w:pPr>
              <w:spacing w:after="0" w:line="240" w:lineRule="auto"/>
              <w:jc w:val="center"/>
              <w:rPr>
                <w:rFonts w:cs="Calibri"/>
                <w:b/>
                <w:bCs/>
                <w:lang w:val="fr-BE"/>
              </w:rPr>
            </w:pPr>
            <w:r>
              <w:rPr>
                <w:rFonts w:cs="Calibri"/>
                <w:b/>
                <w:bCs/>
                <w:lang w:val="fr-BE"/>
              </w:rPr>
              <w:t>Source</w:t>
            </w:r>
          </w:p>
        </w:tc>
      </w:tr>
      <w:tr w:rsidR="00E57C42" w14:paraId="44080794"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791523" w14:textId="77777777" w:rsidR="00E57C42" w:rsidRDefault="00E866B6">
            <w:pPr>
              <w:keepNext/>
              <w:keepLines/>
              <w:spacing w:before="240" w:after="0" w:line="240" w:lineRule="auto"/>
              <w:outlineLvl w:val="0"/>
              <w:rPr>
                <w:rFonts w:eastAsia="Times New Roman" w:cs="Calibri"/>
                <w:u w:val="single"/>
                <w:lang w:val="fr-CH"/>
              </w:rPr>
            </w:pPr>
            <w:r>
              <w:rPr>
                <w:rFonts w:eastAsia="Times New Roman" w:cs="Calibri"/>
                <w:u w:val="single"/>
                <w:lang w:val="fr-CH"/>
              </w:rPr>
              <w:t>F12 Q16 a)</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2C89D3" w14:textId="77777777" w:rsidR="00E57C42" w:rsidRDefault="00E866B6">
            <w:pPr>
              <w:spacing w:after="0" w:line="240" w:lineRule="auto"/>
            </w:pPr>
            <w:r>
              <w:rPr>
                <w:rStyle w:val="Policepardfaut"/>
                <w:rFonts w:eastAsia="Times New Roman" w:cs="Calibri"/>
                <w:b/>
                <w:bCs/>
                <w:u w:val="single"/>
                <w:lang w:val="fr-CH"/>
              </w:rPr>
              <w:t>Question 16</w:t>
            </w:r>
            <w:r>
              <w:rPr>
                <w:rStyle w:val="Policepardfaut"/>
                <w:rFonts w:eastAsia="Times New Roman" w:cs="Calibri"/>
                <w:u w:val="single"/>
                <w:lang w:val="fr-CH"/>
              </w:rPr>
              <w:t xml:space="preserve"> : </w:t>
            </w:r>
            <w:r>
              <w:rPr>
                <w:rStyle w:val="Policepardfaut"/>
                <w:rFonts w:cs="Calibri"/>
                <w:u w:val="single"/>
                <w:lang w:val="fr-BE"/>
              </w:rPr>
              <w:t xml:space="preserve">Donner des renseignements sur : </w:t>
            </w:r>
          </w:p>
          <w:p w14:paraId="05B040A4" w14:textId="77777777" w:rsidR="00E57C42" w:rsidRDefault="00E866B6">
            <w:pPr>
              <w:pStyle w:val="SingleTxtG"/>
              <w:ind w:left="0" w:right="57"/>
            </w:pPr>
            <w:r>
              <w:rPr>
                <w:rStyle w:val="Policepardfaut"/>
                <w:rFonts w:ascii="Calibri" w:hAnsi="Calibri" w:cs="Calibri"/>
                <w:sz w:val="22"/>
                <w:szCs w:val="22"/>
                <w:u w:val="single"/>
                <w:lang w:val="fr-BE"/>
              </w:rPr>
              <w:t>a)</w:t>
            </w:r>
            <w:r>
              <w:rPr>
                <w:rStyle w:val="Policepardfaut"/>
                <w:rFonts w:ascii="Calibri" w:hAnsi="Calibri" w:cs="Calibri"/>
                <w:sz w:val="22"/>
                <w:szCs w:val="22"/>
                <w:u w:val="single"/>
              </w:rPr>
              <w:t xml:space="preserve"> Les mesures prises pour garantir la </w:t>
            </w:r>
            <w:r>
              <w:rPr>
                <w:rStyle w:val="Policepardfaut"/>
                <w:rFonts w:ascii="Calibri" w:hAnsi="Calibri" w:cs="Calibri"/>
                <w:sz w:val="22"/>
                <w:szCs w:val="22"/>
                <w:u w:val="single"/>
              </w:rPr>
              <w:t>protection des personnes handicapées, en particulier des femmes, des enfants et des personnes âgées, contre l’exploitation, la violence et les mauvais traitements, y compris toutes les formes de violence domestique et institutionnelle ;</w:t>
            </w:r>
          </w:p>
          <w:p w14:paraId="55AC9703" w14:textId="77777777" w:rsidR="00E57C42" w:rsidRDefault="00E57C42">
            <w:pPr>
              <w:pStyle w:val="SingleTxtG"/>
              <w:ind w:left="0" w:right="57"/>
              <w:rPr>
                <w:rFonts w:ascii="Calibri" w:hAnsi="Calibri" w:cs="Calibri"/>
                <w:sz w:val="22"/>
                <w:szCs w:val="22"/>
                <w:u w:val="singl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A3A36" w14:textId="77777777" w:rsidR="00E57C42" w:rsidRDefault="00E866B6">
            <w:pPr>
              <w:keepNext/>
              <w:keepLines/>
              <w:spacing w:before="240" w:after="0" w:line="240" w:lineRule="auto"/>
              <w:outlineLvl w:val="0"/>
              <w:rPr>
                <w:rFonts w:eastAsia="Times New Roman" w:cs="Calibri"/>
                <w:u w:val="single"/>
                <w:lang w:val="fr-CH"/>
              </w:rPr>
            </w:pPr>
            <w:r>
              <w:rPr>
                <w:rFonts w:eastAsia="Times New Roman" w:cs="Calibri"/>
                <w:u w:val="single"/>
                <w:lang w:val="fr-CH"/>
              </w:rPr>
              <w:t>CDPH</w:t>
            </w:r>
          </w:p>
        </w:tc>
      </w:tr>
      <w:tr w:rsidR="00E57C42" w14:paraId="2FC543CC"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178A11" w14:textId="77777777" w:rsidR="00E57C42" w:rsidRDefault="00E866B6">
            <w:pPr>
              <w:spacing w:after="0" w:line="240" w:lineRule="auto"/>
              <w:rPr>
                <w:rFonts w:cs="Calibri"/>
                <w:u w:val="single"/>
                <w:lang w:val="fr-CH"/>
              </w:rPr>
            </w:pPr>
            <w:r>
              <w:rPr>
                <w:rFonts w:cs="Calibri"/>
                <w:u w:val="single"/>
                <w:lang w:val="fr-CH"/>
              </w:rPr>
              <w:t>F12 Q16 a)</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864B9" w14:textId="77777777" w:rsidR="00E57C42" w:rsidRDefault="00E866B6">
            <w:pPr>
              <w:spacing w:after="0" w:line="240" w:lineRule="auto"/>
            </w:pPr>
            <w:bookmarkStart w:id="0" w:name="_Hlk117268923"/>
            <w:r>
              <w:rPr>
                <w:rStyle w:val="Policepardfaut"/>
                <w:rFonts w:eastAsia="Verdana" w:cs="Calibri"/>
                <w:lang w:val="fr-BE"/>
              </w:rPr>
              <w:t>En dehors de l’étude de l’UGent</w:t>
            </w:r>
            <w:r>
              <w:rPr>
                <w:rStyle w:val="Appelnotedebasdep"/>
                <w:rFonts w:eastAsia="Verdana" w:cs="Calibri"/>
                <w:lang w:val="fr-BE"/>
              </w:rPr>
              <w:footnoteReference w:id="1"/>
            </w:r>
            <w:r>
              <w:rPr>
                <w:rStyle w:val="Policepardfaut"/>
                <w:rFonts w:eastAsia="Verdana" w:cs="Calibri"/>
                <w:lang w:val="fr-BE"/>
              </w:rPr>
              <w:t xml:space="preserve">, le BDF ne dispose d'aucun résultat d'étude pour réfuter ou confirmer les soupçons de violence à l'égard des personnes handicapées. Cette étude universitaire vient cependant corroborer les éléments récoltés par plusieurs organisations membres du BDF au travers de nombreux témoignages. </w:t>
            </w:r>
          </w:p>
          <w:p w14:paraId="77DCF009" w14:textId="77777777" w:rsidR="00E57C42" w:rsidRDefault="00E57C42">
            <w:pPr>
              <w:spacing w:after="0" w:line="240" w:lineRule="auto"/>
              <w:rPr>
                <w:rFonts w:eastAsia="Verdana" w:cs="Calibri"/>
                <w:sz w:val="8"/>
                <w:szCs w:val="8"/>
                <w:lang w:val="fr-BE"/>
              </w:rPr>
            </w:pPr>
          </w:p>
          <w:p w14:paraId="71F19083" w14:textId="77777777" w:rsidR="00E57C42" w:rsidRDefault="00E866B6">
            <w:pPr>
              <w:spacing w:after="0" w:line="240" w:lineRule="auto"/>
              <w:rPr>
                <w:rFonts w:eastAsia="Verdana" w:cs="Calibri"/>
                <w:lang w:val="fr-BE"/>
              </w:rPr>
            </w:pPr>
            <w:r>
              <w:rPr>
                <w:rFonts w:eastAsia="Verdana" w:cs="Calibri"/>
                <w:lang w:val="fr-BE"/>
              </w:rPr>
              <w:t xml:space="preserve">Les témoignages recueillis par les organisations de personnes handicapées et les services sociaux sont systématiquement reçus de manière anonyme car les victimes craignent de porter plainte en raison de leur forte dépendance vis-à-vis de l'environnement dans lequel ces événements se produisent. Cet aspect des choses est clairement corroboré par l’étude de l’UGent. </w:t>
            </w:r>
          </w:p>
          <w:p w14:paraId="5B41EC8C" w14:textId="77777777" w:rsidR="00E57C42" w:rsidRDefault="00E57C42">
            <w:pPr>
              <w:spacing w:after="0" w:line="240" w:lineRule="auto"/>
              <w:rPr>
                <w:rFonts w:eastAsia="Verdana" w:cs="Calibri"/>
                <w:sz w:val="8"/>
                <w:szCs w:val="8"/>
                <w:lang w:val="fr-BE"/>
              </w:rPr>
            </w:pPr>
          </w:p>
          <w:p w14:paraId="0B1C938D" w14:textId="77777777" w:rsidR="00E57C42" w:rsidRDefault="00E866B6">
            <w:pPr>
              <w:spacing w:after="0" w:line="240" w:lineRule="auto"/>
            </w:pPr>
            <w:r>
              <w:rPr>
                <w:rStyle w:val="Policepardfaut"/>
                <w:rFonts w:eastAsia="Verdana" w:cs="Calibri"/>
                <w:lang w:val="fr-BE"/>
              </w:rPr>
              <w:t>Ces abus seraient de deux types : la contention, tant physique que chimique, et la stérilisation ou la contraception forcée. Ces actes seraient perpétrés dans des établissements psychiatriques, des institutions et des centres de jour pour personnes handicapées et dans des établissements d'enseignement spécialisés</w:t>
            </w:r>
            <w:r>
              <w:rPr>
                <w:rStyle w:val="Appelnotedebasdep"/>
                <w:rFonts w:eastAsia="Verdana" w:cs="Calibri"/>
                <w:lang w:val="fr-BE"/>
              </w:rPr>
              <w:footnoteReference w:id="2"/>
            </w:r>
            <w:r>
              <w:rPr>
                <w:rStyle w:val="Policepardfaut"/>
                <w:rFonts w:eastAsia="Verdana" w:cs="Calibri"/>
                <w:lang w:val="fr-BE"/>
              </w:rPr>
              <w:t xml:space="preserve">. </w:t>
            </w:r>
          </w:p>
          <w:p w14:paraId="62552FC8" w14:textId="77777777" w:rsidR="00E57C42" w:rsidRDefault="00E57C42">
            <w:pPr>
              <w:spacing w:after="0" w:line="240" w:lineRule="auto"/>
              <w:rPr>
                <w:rFonts w:eastAsia="Verdana" w:cs="Calibri"/>
                <w:sz w:val="8"/>
                <w:szCs w:val="8"/>
                <w:lang w:val="fr-BE"/>
              </w:rPr>
            </w:pPr>
          </w:p>
          <w:p w14:paraId="79170842" w14:textId="77777777" w:rsidR="00E57C42" w:rsidRDefault="00E866B6">
            <w:pPr>
              <w:spacing w:after="0" w:line="240" w:lineRule="auto"/>
              <w:rPr>
                <w:rFonts w:eastAsia="Verdana" w:cs="Calibri"/>
                <w:lang w:val="fr-BE"/>
              </w:rPr>
            </w:pPr>
            <w:r>
              <w:rPr>
                <w:rFonts w:eastAsia="Verdana" w:cs="Calibri"/>
                <w:lang w:val="fr-BE"/>
              </w:rPr>
              <w:t xml:space="preserve">Il est toujours hasardeux d’extrapoler la situation d’une région sur une autre, mais faute d’étude similaire pour la Région Bruxelles capitale et pour la Région wallonne et vu l’existence de nombreux témoignages anonymes rapportant le même type de faits, le BDF peut considérer qu’il dispose d’un faisceaux de preuves suffisantes pour le faire. </w:t>
            </w:r>
          </w:p>
          <w:p w14:paraId="03A4CECE" w14:textId="77777777" w:rsidR="00E57C42" w:rsidRDefault="00E866B6">
            <w:pPr>
              <w:spacing w:after="0" w:line="240" w:lineRule="auto"/>
            </w:pPr>
            <w:r>
              <w:rPr>
                <w:rStyle w:val="Policepardfaut"/>
                <w:rFonts w:eastAsia="Verdana" w:cs="Calibri"/>
                <w:color w:val="C00000"/>
                <w:shd w:val="clear" w:color="auto" w:fill="FFFF00"/>
                <w:lang w:val="fr-BE"/>
              </w:rPr>
              <w:t>(Pour art. 6 Femmes handicapées et art.15 Peines et traitements dégradants)</w:t>
            </w:r>
          </w:p>
          <w:p w14:paraId="649E6E01" w14:textId="77777777" w:rsidR="00E57C42" w:rsidRDefault="00E57C42">
            <w:pPr>
              <w:spacing w:after="0" w:line="240" w:lineRule="auto"/>
              <w:rPr>
                <w:rFonts w:eastAsia="Verdana" w:cs="Calibri"/>
                <w:lang w:val="fr-BE"/>
              </w:rPr>
            </w:pPr>
          </w:p>
          <w:bookmarkEnd w:id="0"/>
          <w:p w14:paraId="2CEF0CE8" w14:textId="77777777" w:rsidR="00E57C42" w:rsidRDefault="00E866B6">
            <w:pPr>
              <w:pStyle w:val="Titre3"/>
              <w:spacing w:line="240" w:lineRule="auto"/>
              <w:rPr>
                <w:rFonts w:ascii="Calibri" w:eastAsia="Verdana" w:hAnsi="Calibri" w:cs="Calibri"/>
                <w:color w:val="auto"/>
                <w:sz w:val="22"/>
                <w:szCs w:val="22"/>
                <w:u w:val="single"/>
                <w:lang w:val="fr-BE"/>
              </w:rPr>
            </w:pPr>
            <w:r>
              <w:rPr>
                <w:rFonts w:ascii="Calibri" w:eastAsia="Verdana" w:hAnsi="Calibri" w:cs="Calibri"/>
                <w:color w:val="auto"/>
                <w:sz w:val="22"/>
                <w:szCs w:val="22"/>
                <w:u w:val="single"/>
                <w:lang w:val="fr-BE"/>
              </w:rPr>
              <w:lastRenderedPageBreak/>
              <w:t>Questions proposées :</w:t>
            </w:r>
          </w:p>
          <w:p w14:paraId="69CEF360" w14:textId="77777777" w:rsidR="00E57C42" w:rsidRDefault="00E866B6">
            <w:pPr>
              <w:pStyle w:val="Paragraphedeliste"/>
              <w:numPr>
                <w:ilvl w:val="0"/>
                <w:numId w:val="1"/>
              </w:numPr>
              <w:spacing w:after="0" w:line="240" w:lineRule="auto"/>
            </w:pPr>
            <w:r>
              <w:rPr>
                <w:rStyle w:val="Policepardfaut"/>
                <w:rFonts w:eastAsia="Verdana" w:cs="Calibri"/>
                <w:color w:val="000000"/>
                <w:lang w:val="fr-BE"/>
              </w:rPr>
              <w:t xml:space="preserve">Quels sont les chiffres dont dispose la Belgique sur le recours à la contrainte physique ou chimique dans les </w:t>
            </w:r>
            <w:r>
              <w:rPr>
                <w:rStyle w:val="Policepardfaut"/>
                <w:rFonts w:eastAsia="Verdana" w:cs="Calibri"/>
                <w:color w:val="000000"/>
                <w:lang w:val="fr-BE"/>
              </w:rPr>
              <w:t>centres de jour ou les institutions ? Les cas identifiés correspondent-ils toujours à des situations qui justifient ce recours, comme le prévoit la législation belge : risques pour la personne ou pour des tiers dus au comportement de la personne concernée ? Quelles mesures la Belgique compte-t-elle prendre pour mettre fin au recours à la contrainte ?</w:t>
            </w:r>
          </w:p>
          <w:p w14:paraId="435B9493" w14:textId="77777777" w:rsidR="00E57C42" w:rsidRDefault="00E866B6">
            <w:pPr>
              <w:pStyle w:val="Paragraphedeliste"/>
              <w:numPr>
                <w:ilvl w:val="0"/>
                <w:numId w:val="1"/>
              </w:numPr>
              <w:spacing w:after="0" w:line="240" w:lineRule="auto"/>
            </w:pPr>
            <w:r>
              <w:rPr>
                <w:rStyle w:val="Policepardfaut"/>
                <w:rFonts w:eastAsia="Verdana" w:cs="Calibri"/>
                <w:color w:val="000000"/>
                <w:lang w:val="fr-BE"/>
              </w:rPr>
              <w:t>Quelles mesures concrètes la Belgique compte-t-elle prendre pour faciliter l'identification des cas de médication forcée ?</w:t>
            </w:r>
          </w:p>
          <w:p w14:paraId="2B5F980E" w14:textId="77777777" w:rsidR="00E57C42" w:rsidRDefault="00E57C42">
            <w:pPr>
              <w:spacing w:after="0" w:line="240" w:lineRule="auto"/>
              <w:rPr>
                <w:rFonts w:cs="Calibri"/>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923F6" w14:textId="77777777" w:rsidR="00E57C42" w:rsidRDefault="00E866B6">
            <w:pPr>
              <w:spacing w:after="0" w:line="240" w:lineRule="auto"/>
              <w:rPr>
                <w:rFonts w:cs="Calibri"/>
                <w:u w:val="single"/>
                <w:lang w:val="fr-BE"/>
              </w:rPr>
            </w:pPr>
            <w:r>
              <w:rPr>
                <w:rFonts w:cs="Calibri"/>
                <w:u w:val="single"/>
                <w:lang w:val="fr-BE"/>
              </w:rPr>
              <w:lastRenderedPageBreak/>
              <w:t>Secrétariat</w:t>
            </w:r>
          </w:p>
        </w:tc>
      </w:tr>
      <w:tr w:rsidR="00E57C42" w14:paraId="6C3ABA2F"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6C220" w14:textId="77777777" w:rsidR="00E57C42" w:rsidRDefault="00E866B6">
            <w:pPr>
              <w:spacing w:after="0" w:line="240" w:lineRule="auto"/>
              <w:rPr>
                <w:rFonts w:cs="Calibri"/>
                <w:u w:val="single"/>
                <w:lang w:val="fr-CH"/>
              </w:rPr>
            </w:pPr>
            <w:r>
              <w:rPr>
                <w:rFonts w:cs="Calibri"/>
                <w:u w:val="single"/>
                <w:lang w:val="fr-CH"/>
              </w:rPr>
              <w:t>F12 Q16 a)</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21760" w14:textId="77777777" w:rsidR="00E57C42" w:rsidRDefault="00E866B6">
            <w:pPr>
              <w:spacing w:after="0" w:line="240" w:lineRule="auto"/>
              <w:rPr>
                <w:rFonts w:cs="Calibri"/>
                <w:lang w:val="fr-BE"/>
              </w:rPr>
            </w:pPr>
            <w:r>
              <w:rPr>
                <w:rFonts w:cs="Calibri"/>
                <w:lang w:val="fr-BE"/>
              </w:rPr>
              <w:t>Une remarque générale est de sensibiliser la population aux violences faites aux femmes en situation de handicap afin de faire évoluer les mentalités… Certaines femmes en situation de handicap n’ont même pas accès à certains droits fondamentaux.</w:t>
            </w:r>
          </w:p>
          <w:p w14:paraId="0A1777E0" w14:textId="77777777" w:rsidR="00E57C42" w:rsidRDefault="00E57C42">
            <w:pPr>
              <w:spacing w:after="0" w:line="240" w:lineRule="auto"/>
              <w:rPr>
                <w:rFonts w:cs="Calibri"/>
                <w:sz w:val="8"/>
                <w:szCs w:val="8"/>
                <w:lang w:val="fr-BE"/>
              </w:rPr>
            </w:pPr>
          </w:p>
          <w:p w14:paraId="415E701E" w14:textId="77777777" w:rsidR="00E57C42" w:rsidRDefault="00E866B6">
            <w:pPr>
              <w:spacing w:after="0" w:line="240" w:lineRule="auto"/>
              <w:rPr>
                <w:rFonts w:cs="Calibri"/>
                <w:lang w:val="fr-BE"/>
              </w:rPr>
            </w:pPr>
            <w:bookmarkStart w:id="1" w:name="_Hlk117270531"/>
            <w:r>
              <w:rPr>
                <w:rFonts w:cs="Calibri"/>
                <w:lang w:val="fr-BE"/>
              </w:rPr>
              <w:t>Faciliter la possibilité de porter plainte par les résidents en institutions agréées et/ou subventionnées par les fonds en garantissant l’anonymat, la réactivité et le maintien de la place en institution car souvent c’est là que les tensions se trouvent.</w:t>
            </w:r>
          </w:p>
          <w:bookmarkEnd w:id="1"/>
          <w:p w14:paraId="5EFFFB06" w14:textId="77777777" w:rsidR="00E57C42" w:rsidRDefault="00E866B6">
            <w:pPr>
              <w:spacing w:after="0" w:line="240" w:lineRule="auto"/>
            </w:pPr>
            <w:r>
              <w:rPr>
                <w:rStyle w:val="Policepardfaut"/>
                <w:rFonts w:cs="Calibri"/>
                <w:color w:val="C00000"/>
                <w:shd w:val="clear" w:color="auto" w:fill="FFFF00"/>
                <w:lang w:val="fr-BE"/>
              </w:rPr>
              <w:t>Transféré vers art.6-Femmes et art. 15-Traitements dégradants</w:t>
            </w:r>
          </w:p>
          <w:p w14:paraId="1D4E0400" w14:textId="77777777" w:rsidR="00E57C42" w:rsidRDefault="00E57C42">
            <w:pPr>
              <w:spacing w:after="0" w:line="240" w:lineRule="auto"/>
              <w:rPr>
                <w:rFonts w:cs="Calibri"/>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C4047" w14:textId="77777777" w:rsidR="00E57C42" w:rsidRDefault="00E866B6">
            <w:pPr>
              <w:spacing w:after="0" w:line="240" w:lineRule="auto"/>
              <w:rPr>
                <w:rFonts w:cs="Calibri"/>
                <w:u w:val="single"/>
                <w:lang w:val="fr-BE"/>
              </w:rPr>
            </w:pPr>
            <w:r>
              <w:rPr>
                <w:rFonts w:cs="Calibri"/>
                <w:u w:val="single"/>
                <w:lang w:val="fr-BE"/>
              </w:rPr>
              <w:t>ASPH</w:t>
            </w:r>
          </w:p>
        </w:tc>
      </w:tr>
      <w:tr w:rsidR="00E57C42" w14:paraId="7A851E41"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058779" w14:textId="77777777" w:rsidR="00E57C42" w:rsidRDefault="00E866B6">
            <w:pPr>
              <w:spacing w:after="0" w:line="240" w:lineRule="auto"/>
              <w:rPr>
                <w:rFonts w:cs="Calibri"/>
                <w:u w:val="single"/>
                <w:lang w:val="fr-CH"/>
              </w:rPr>
            </w:pPr>
            <w:r>
              <w:rPr>
                <w:rFonts w:cs="Calibri"/>
                <w:u w:val="single"/>
                <w:lang w:val="fr-CH"/>
              </w:rPr>
              <w:t>F12 Q16 a)</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2B041A" w14:textId="77777777" w:rsidR="00E57C42" w:rsidRDefault="00E866B6">
            <w:pPr>
              <w:spacing w:after="0" w:line="240" w:lineRule="auto"/>
            </w:pPr>
            <w:r>
              <w:rPr>
                <w:rStyle w:val="Policepardfaut"/>
                <w:rFonts w:cs="Calibri"/>
                <w:lang w:val="fr-BE"/>
              </w:rPr>
              <w:t xml:space="preserve">"...L'étude </w:t>
            </w:r>
            <w:r>
              <w:rPr>
                <w:rStyle w:val="Policepardfaut"/>
                <w:rFonts w:cs="Calibri"/>
                <w:shd w:val="clear" w:color="auto" w:fill="D9D9D9"/>
                <w:lang w:val="fr-BE"/>
              </w:rPr>
              <w:t>a abouti à un certain nombre de recommandations politiques</w:t>
            </w:r>
            <w:r>
              <w:rPr>
                <w:rStyle w:val="Policepardfaut"/>
                <w:rFonts w:cs="Calibri"/>
                <w:lang w:val="fr-BE"/>
              </w:rPr>
              <w:t>..."</w:t>
            </w:r>
          </w:p>
          <w:p w14:paraId="24491670" w14:textId="77777777" w:rsidR="00E57C42" w:rsidRDefault="00E866B6">
            <w:pPr>
              <w:spacing w:after="0" w:line="240" w:lineRule="auto"/>
              <w:ind w:left="606"/>
            </w:pPr>
            <w:r>
              <w:rPr>
                <w:rStyle w:val="Policepardfaut"/>
                <w:rFonts w:ascii="Wingdings" w:eastAsia="Wingdings" w:hAnsi="Wingdings" w:cs="Wingdings"/>
                <w:lang w:val="fr-BE"/>
              </w:rPr>
              <w:t></w:t>
            </w:r>
            <w:r>
              <w:rPr>
                <w:rStyle w:val="Policepardfaut"/>
                <w:rFonts w:cs="Calibri"/>
                <w:lang w:val="fr-BE"/>
              </w:rPr>
              <w:t xml:space="preserve"> Peut-on aussi demander ce qui s'est passé d'autre par la suite ? Les études sont très utiles, mais c'est dommage si </w:t>
            </w:r>
            <w:r>
              <w:rPr>
                <w:rStyle w:val="Policepardfaut"/>
                <w:rFonts w:cs="Calibri"/>
                <w:lang w:val="fr-BE"/>
              </w:rPr>
              <w:t>elles finissent dans le placard. A-t-on donné suite à ces recommandations ? Quelles mesures ont été prises ?</w:t>
            </w:r>
          </w:p>
          <w:p w14:paraId="22EE9AFC" w14:textId="77777777" w:rsidR="00E57C42" w:rsidRDefault="00E57C42">
            <w:pPr>
              <w:spacing w:after="0" w:line="240" w:lineRule="auto"/>
              <w:ind w:left="606"/>
              <w:rPr>
                <w:rFonts w:cs="Calibri"/>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BC8D4A" w14:textId="77777777" w:rsidR="00E57C42" w:rsidRDefault="00E866B6">
            <w:pPr>
              <w:spacing w:after="0" w:line="240" w:lineRule="auto"/>
              <w:rPr>
                <w:rFonts w:cs="Calibri"/>
                <w:u w:val="single"/>
                <w:lang w:val="fr-BE"/>
              </w:rPr>
            </w:pPr>
            <w:r>
              <w:rPr>
                <w:rFonts w:cs="Calibri"/>
                <w:u w:val="single"/>
                <w:lang w:val="fr-BE"/>
              </w:rPr>
              <w:t>VFG</w:t>
            </w:r>
          </w:p>
        </w:tc>
      </w:tr>
      <w:tr w:rsidR="00E57C42" w14:paraId="1E9A802B" w14:textId="77777777">
        <w:tblPrEx>
          <w:tblCellMar>
            <w:top w:w="0" w:type="dxa"/>
            <w:bottom w:w="0" w:type="dxa"/>
          </w:tblCellMar>
        </w:tblPrEx>
        <w:trPr>
          <w:trHeight w:val="56"/>
        </w:trPr>
        <w:tc>
          <w:tcPr>
            <w:tcW w:w="1413"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5FE6A3AA" w14:textId="77777777" w:rsidR="00E57C42" w:rsidRDefault="00E57C42">
            <w:pPr>
              <w:spacing w:after="0" w:line="240" w:lineRule="auto"/>
              <w:rPr>
                <w:rFonts w:cs="Calibri"/>
                <w:sz w:val="8"/>
                <w:szCs w:val="8"/>
                <w:u w:val="single"/>
                <w:lang w:val="fr-CH"/>
              </w:rPr>
            </w:pPr>
          </w:p>
        </w:tc>
        <w:tc>
          <w:tcPr>
            <w:tcW w:w="10206"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2E219AEF" w14:textId="77777777" w:rsidR="00E57C42" w:rsidRDefault="00E57C42">
            <w:pPr>
              <w:spacing w:after="0" w:line="240" w:lineRule="auto"/>
              <w:rPr>
                <w:rFonts w:cs="Calibri"/>
                <w:sz w:val="8"/>
                <w:szCs w:val="8"/>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EAAAA"/>
            <w:tcMar>
              <w:top w:w="0" w:type="dxa"/>
              <w:left w:w="108" w:type="dxa"/>
              <w:bottom w:w="0" w:type="dxa"/>
              <w:right w:w="108" w:type="dxa"/>
            </w:tcMar>
          </w:tcPr>
          <w:p w14:paraId="5A41850F" w14:textId="77777777" w:rsidR="00E57C42" w:rsidRDefault="00E57C42">
            <w:pPr>
              <w:spacing w:after="0" w:line="240" w:lineRule="auto"/>
              <w:rPr>
                <w:rFonts w:cs="Calibri"/>
                <w:sz w:val="8"/>
                <w:szCs w:val="8"/>
                <w:u w:val="single"/>
                <w:lang w:val="fr-BE"/>
              </w:rPr>
            </w:pPr>
          </w:p>
        </w:tc>
      </w:tr>
      <w:tr w:rsidR="00E57C42" w14:paraId="3360B693"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33C4CB" w14:textId="77777777" w:rsidR="00E57C42" w:rsidRDefault="00E866B6">
            <w:pPr>
              <w:spacing w:after="0" w:line="240" w:lineRule="auto"/>
              <w:rPr>
                <w:rFonts w:cs="Calibri"/>
                <w:u w:val="single"/>
                <w:lang w:val="fr-CH"/>
              </w:rPr>
            </w:pPr>
            <w:r>
              <w:rPr>
                <w:rFonts w:cs="Calibri"/>
                <w:u w:val="single"/>
                <w:lang w:val="fr-CH"/>
              </w:rPr>
              <w:t>F12 Q16 b)</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116B0C" w14:textId="77777777" w:rsidR="00E57C42" w:rsidRDefault="00E866B6">
            <w:pPr>
              <w:spacing w:after="0" w:line="240" w:lineRule="auto"/>
            </w:pPr>
            <w:bookmarkStart w:id="2" w:name="_Hlk117416987"/>
            <w:r>
              <w:rPr>
                <w:rStyle w:val="Policepardfaut"/>
                <w:rFonts w:eastAsia="Times New Roman" w:cs="Calibri"/>
                <w:b/>
                <w:bCs/>
                <w:i/>
                <w:iCs/>
                <w:u w:val="single"/>
                <w:lang w:val="fr-CH"/>
              </w:rPr>
              <w:t>Question 16</w:t>
            </w:r>
            <w:r>
              <w:rPr>
                <w:rStyle w:val="Policepardfaut"/>
                <w:rFonts w:eastAsia="Times New Roman" w:cs="Calibri"/>
                <w:i/>
                <w:iCs/>
                <w:u w:val="single"/>
                <w:lang w:val="fr-CH"/>
              </w:rPr>
              <w:t xml:space="preserve"> : </w:t>
            </w:r>
            <w:r>
              <w:rPr>
                <w:rStyle w:val="Policepardfaut"/>
                <w:rFonts w:cs="Calibri"/>
                <w:i/>
                <w:iCs/>
                <w:u w:val="single"/>
                <w:lang w:val="fr-BE"/>
              </w:rPr>
              <w:t xml:space="preserve">Donner des renseignements sur : </w:t>
            </w:r>
          </w:p>
          <w:p w14:paraId="68449A40" w14:textId="77777777" w:rsidR="00E57C42" w:rsidRDefault="00E866B6">
            <w:pPr>
              <w:pStyle w:val="SingleTxtG"/>
              <w:ind w:left="0" w:right="57"/>
            </w:pPr>
            <w:r>
              <w:rPr>
                <w:rStyle w:val="Policepardfaut"/>
                <w:rFonts w:ascii="Calibri" w:hAnsi="Calibri" w:cs="Calibri"/>
                <w:i/>
                <w:iCs/>
                <w:sz w:val="22"/>
                <w:szCs w:val="22"/>
                <w:lang w:val="fr-BE"/>
              </w:rPr>
              <w:t>b)</w:t>
            </w:r>
            <w:r>
              <w:rPr>
                <w:rStyle w:val="Policepardfaut"/>
                <w:rFonts w:ascii="Calibri" w:hAnsi="Calibri" w:cs="Calibri"/>
                <w:i/>
                <w:iCs/>
                <w:sz w:val="22"/>
                <w:szCs w:val="22"/>
              </w:rPr>
              <w:t xml:space="preserve"> La mise en place de protocoles relatifs au dépistage précoce de la </w:t>
            </w:r>
            <w:r>
              <w:rPr>
                <w:rStyle w:val="Policepardfaut"/>
                <w:rFonts w:ascii="Calibri" w:hAnsi="Calibri" w:cs="Calibri"/>
                <w:i/>
                <w:iCs/>
                <w:sz w:val="22"/>
                <w:szCs w:val="22"/>
              </w:rPr>
              <w:t>violence, en particulier en milieu institutionnel, à l’apport d’aménagements procéduraux pour recueillir le témoignage des victimes, à l’engagement de poursuites contre les auteurs d’infractions violentes et au type de réparation octroyée aux personnes handicapées victimes de violence.</w:t>
            </w:r>
          </w:p>
          <w:bookmarkEnd w:id="2"/>
          <w:p w14:paraId="2ADE82DC" w14:textId="77777777" w:rsidR="00E57C42" w:rsidRDefault="00E57C42">
            <w:pPr>
              <w:spacing w:after="0" w:line="240" w:lineRule="auto"/>
              <w:rPr>
                <w:rFonts w:cs="Calibri"/>
                <w:lang w:val="fr-CH"/>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4F0432" w14:textId="77777777" w:rsidR="00E57C42" w:rsidRDefault="00E866B6">
            <w:pPr>
              <w:spacing w:after="0" w:line="240" w:lineRule="auto"/>
              <w:rPr>
                <w:rFonts w:cs="Calibri"/>
                <w:u w:val="single"/>
                <w:lang w:val="fr-CH"/>
              </w:rPr>
            </w:pPr>
            <w:r>
              <w:rPr>
                <w:rFonts w:cs="Calibri"/>
                <w:u w:val="single"/>
                <w:lang w:val="fr-CH"/>
              </w:rPr>
              <w:t>CDPH</w:t>
            </w:r>
          </w:p>
        </w:tc>
      </w:tr>
      <w:tr w:rsidR="00E57C42" w14:paraId="2C18725F"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8F906" w14:textId="77777777" w:rsidR="00E57C42" w:rsidRDefault="00E866B6">
            <w:pPr>
              <w:spacing w:after="0" w:line="240" w:lineRule="auto"/>
              <w:rPr>
                <w:rFonts w:cs="Calibri"/>
                <w:u w:val="single"/>
                <w:lang w:val="fr-CH"/>
              </w:rPr>
            </w:pPr>
            <w:r>
              <w:rPr>
                <w:rFonts w:cs="Calibri"/>
                <w:u w:val="single"/>
                <w:lang w:val="fr-CH"/>
              </w:rPr>
              <w:t>F12 Q16 b)</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629EE" w14:textId="77777777" w:rsidR="00E57C42" w:rsidRDefault="00E866B6">
            <w:pPr>
              <w:spacing w:after="0" w:line="240" w:lineRule="auto"/>
              <w:rPr>
                <w:rFonts w:cs="Calibri"/>
                <w:lang w:val="fr-BE"/>
              </w:rPr>
            </w:pPr>
            <w:bookmarkStart w:id="3" w:name="_Hlk117417072"/>
            <w:r>
              <w:rPr>
                <w:rFonts w:cs="Calibri"/>
                <w:lang w:val="fr-BE"/>
              </w:rPr>
              <w:t xml:space="preserve">A la connaissance du BDF, il n’existe pas de protocole suffisant de dépistage précoce des violences en milieu institutionnel, ni de processus de plainte donnant aux victimes la confiance nécessaire pour </w:t>
            </w:r>
            <w:r>
              <w:rPr>
                <w:rFonts w:cs="Calibri"/>
                <w:lang w:val="fr-BE"/>
              </w:rPr>
              <w:t>s’ouvrir sur ces faits par rapport auxquels elles n’ont, en outre pas les référentiels de compréhension nécessaires.</w:t>
            </w:r>
          </w:p>
          <w:p w14:paraId="780365A0" w14:textId="77777777" w:rsidR="00E57C42" w:rsidRDefault="00E57C42">
            <w:pPr>
              <w:spacing w:after="0" w:line="240" w:lineRule="auto"/>
              <w:rPr>
                <w:rFonts w:cs="Calibri"/>
                <w:lang w:val="fr-BE"/>
              </w:rPr>
            </w:pPr>
          </w:p>
          <w:p w14:paraId="355EA6FC" w14:textId="77777777" w:rsidR="00E57C42" w:rsidRDefault="00E866B6">
            <w:pPr>
              <w:spacing w:after="0" w:line="240" w:lineRule="auto"/>
              <w:rPr>
                <w:rFonts w:cs="Calibri"/>
                <w:lang w:val="fr-BE"/>
              </w:rPr>
            </w:pPr>
            <w:r>
              <w:rPr>
                <w:rFonts w:cs="Calibri"/>
                <w:lang w:val="fr-BE"/>
              </w:rPr>
              <w:lastRenderedPageBreak/>
              <w:t>La détection des faits de violence peut parfois s’avérer encore plus difficile dans le cas de personnes vivant dans la communauté.</w:t>
            </w:r>
          </w:p>
          <w:bookmarkEnd w:id="3"/>
          <w:p w14:paraId="0B38CEC4" w14:textId="77777777" w:rsidR="00E57C42" w:rsidRDefault="00E57C42">
            <w:pPr>
              <w:spacing w:after="0" w:line="240" w:lineRule="auto"/>
              <w:rPr>
                <w:rFonts w:cs="Calibri"/>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60F80B" w14:textId="77777777" w:rsidR="00E57C42" w:rsidRDefault="00E866B6">
            <w:pPr>
              <w:spacing w:after="0" w:line="240" w:lineRule="auto"/>
              <w:rPr>
                <w:rFonts w:cs="Calibri"/>
                <w:u w:val="single"/>
                <w:lang w:val="fr-BE"/>
              </w:rPr>
            </w:pPr>
            <w:r>
              <w:rPr>
                <w:rFonts w:cs="Calibri"/>
                <w:u w:val="single"/>
                <w:lang w:val="fr-BE"/>
              </w:rPr>
              <w:lastRenderedPageBreak/>
              <w:t>Secrétariat</w:t>
            </w:r>
          </w:p>
        </w:tc>
      </w:tr>
      <w:tr w:rsidR="00E57C42" w14:paraId="615B00E6"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7F14" w14:textId="77777777" w:rsidR="00E57C42" w:rsidRDefault="00E866B6">
            <w:pPr>
              <w:spacing w:after="0" w:line="240" w:lineRule="auto"/>
              <w:rPr>
                <w:rFonts w:cs="Calibri"/>
                <w:u w:val="single"/>
                <w:lang w:val="fr-CH"/>
              </w:rPr>
            </w:pPr>
            <w:r>
              <w:rPr>
                <w:rFonts w:cs="Calibri"/>
                <w:u w:val="single"/>
                <w:lang w:val="fr-CH"/>
              </w:rPr>
              <w:t>F12 Q16 b)</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5FF091" w14:textId="77777777" w:rsidR="00E57C42" w:rsidRDefault="00E866B6">
            <w:pPr>
              <w:spacing w:after="0" w:line="240" w:lineRule="auto"/>
              <w:rPr>
                <w:rFonts w:cs="Calibri"/>
                <w:lang w:val="fr-BE"/>
              </w:rPr>
            </w:pPr>
            <w:r>
              <w:rPr>
                <w:rFonts w:cs="Calibri"/>
                <w:lang w:val="fr-BE"/>
              </w:rPr>
              <w:t>Il nous semble qu’en Région wallonne et bruxelloise, les mesures prises ne visent pas explicitement des abus de violence comme c’est le cas en Région Flamande.</w:t>
            </w:r>
          </w:p>
          <w:p w14:paraId="259CBD66" w14:textId="77777777" w:rsidR="00E57C42" w:rsidRDefault="00E57C42">
            <w:pPr>
              <w:spacing w:after="0" w:line="240" w:lineRule="auto"/>
              <w:rPr>
                <w:rFonts w:cs="Calibri"/>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AB9EA" w14:textId="77777777" w:rsidR="00E57C42" w:rsidRDefault="00E57C42">
            <w:pPr>
              <w:spacing w:after="0" w:line="240" w:lineRule="auto"/>
              <w:rPr>
                <w:rFonts w:cs="Calibri"/>
                <w:u w:val="single"/>
                <w:lang w:val="fr-BE"/>
              </w:rPr>
            </w:pPr>
          </w:p>
        </w:tc>
      </w:tr>
      <w:tr w:rsidR="00E57C42" w14:paraId="143FBE4F" w14:textId="77777777">
        <w:tblPrEx>
          <w:tblCellMar>
            <w:top w:w="0" w:type="dxa"/>
            <w:bottom w:w="0" w:type="dxa"/>
          </w:tblCellMar>
        </w:tblPrEx>
        <w:trPr>
          <w:trHeight w:val="532"/>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E6EEA" w14:textId="77777777" w:rsidR="00E57C42" w:rsidRDefault="00E866B6">
            <w:pPr>
              <w:spacing w:after="0" w:line="240" w:lineRule="auto"/>
              <w:rPr>
                <w:rFonts w:cs="Calibri"/>
                <w:u w:val="single"/>
                <w:lang w:val="fr-CH"/>
              </w:rPr>
            </w:pPr>
            <w:r>
              <w:rPr>
                <w:rFonts w:cs="Calibri"/>
                <w:u w:val="single"/>
                <w:lang w:val="fr-CH"/>
              </w:rPr>
              <w:t>F12 Q16 b)</w:t>
            </w:r>
          </w:p>
        </w:tc>
        <w:tc>
          <w:tcPr>
            <w:tcW w:w="1020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1EE69" w14:textId="77777777" w:rsidR="00E57C42" w:rsidRDefault="00E866B6">
            <w:pPr>
              <w:pStyle w:val="Paragraphedeliste"/>
              <w:spacing w:after="0" w:line="240" w:lineRule="auto"/>
              <w:ind w:left="36"/>
              <w:contextualSpacing w:val="0"/>
              <w:rPr>
                <w:rFonts w:cs="Calibri"/>
                <w:b/>
                <w:color w:val="C00000"/>
                <w:sz w:val="20"/>
                <w:szCs w:val="20"/>
                <w:lang w:val="fr-BE"/>
              </w:rPr>
            </w:pPr>
            <w:r>
              <w:rPr>
                <w:rFonts w:cs="Calibri"/>
                <w:b/>
                <w:color w:val="C00000"/>
                <w:sz w:val="20"/>
                <w:szCs w:val="20"/>
                <w:lang w:val="fr-BE"/>
              </w:rPr>
              <w:t xml:space="preserve">Une priorité plus élevée doit être mise sur le déficit de </w:t>
            </w:r>
            <w:r>
              <w:rPr>
                <w:rFonts w:cs="Calibri"/>
                <w:b/>
                <w:color w:val="C00000"/>
                <w:sz w:val="20"/>
                <w:szCs w:val="20"/>
                <w:lang w:val="fr-BE"/>
              </w:rPr>
              <w:t xml:space="preserve">soins et d’assistance. Les dispositifs réglementaires existent (registre dans lequel la qualité des services est évaluée, les plaintes pour violences, leur suivi et l'assistance aux victimes sont enregistrées, etc.), mais le mécanisme de plaintes existant n'est pas suffisamment connu et la transparence du suivi  des plaintes est insuffisant. </w:t>
            </w:r>
          </w:p>
          <w:p w14:paraId="0793FF1A" w14:textId="77777777" w:rsidR="00E57C42" w:rsidRDefault="00E57C42">
            <w:pPr>
              <w:pStyle w:val="Paragraphedeliste"/>
              <w:spacing w:after="0" w:line="240" w:lineRule="auto"/>
              <w:ind w:left="36"/>
              <w:rPr>
                <w:rFonts w:cs="Calibri"/>
                <w:b/>
                <w:color w:val="C00000"/>
                <w:sz w:val="20"/>
                <w:szCs w:val="20"/>
                <w:lang w:val="fr-BE"/>
              </w:rPr>
            </w:pPr>
          </w:p>
          <w:p w14:paraId="53AE2A76" w14:textId="77777777" w:rsidR="00E57C42" w:rsidRDefault="00E866B6">
            <w:pPr>
              <w:pStyle w:val="Paragraphedeliste"/>
              <w:spacing w:after="0" w:line="240" w:lineRule="auto"/>
              <w:ind w:left="36"/>
              <w:rPr>
                <w:rFonts w:cs="Calibri"/>
                <w:b/>
                <w:color w:val="C00000"/>
                <w:sz w:val="20"/>
                <w:szCs w:val="20"/>
                <w:lang w:val="fr-BE"/>
              </w:rPr>
            </w:pPr>
            <w:r>
              <w:rPr>
                <w:rFonts w:cs="Calibri"/>
                <w:b/>
                <w:color w:val="C00000"/>
                <w:sz w:val="20"/>
                <w:szCs w:val="20"/>
                <w:lang w:val="fr-BE"/>
              </w:rPr>
              <w:t xml:space="preserve">Il faut un système qui évite les ‘représailles’ personnelles (comme l'expulsion de l'institution). Une proposition est de créer un point de contact accessible, où, entre autres, on s'efforce d'utiliser le FALC. De plus, le centre de signalement doit être neutre, c'est-à-dire sans intervention de la direction de l'institution pour donner aux citoyens réclamants un sentiment de sécurité. Enfin, le centre de signalement doit avoir le pouvoir et l'obligation de suivre les cas individuels. </w:t>
            </w:r>
          </w:p>
          <w:p w14:paraId="5B9FDC8A" w14:textId="77777777" w:rsidR="00E57C42" w:rsidRDefault="00E57C42">
            <w:pPr>
              <w:pStyle w:val="Paragraphedeliste"/>
              <w:spacing w:after="0" w:line="240" w:lineRule="auto"/>
              <w:ind w:left="36"/>
              <w:rPr>
                <w:rFonts w:cs="Calibri"/>
                <w:b/>
                <w:color w:val="C00000"/>
                <w:sz w:val="20"/>
                <w:szCs w:val="20"/>
                <w:lang w:val="fr-BE"/>
              </w:rPr>
            </w:pPr>
          </w:p>
          <w:p w14:paraId="1EDC74A6" w14:textId="77777777" w:rsidR="00E57C42" w:rsidRDefault="00E866B6">
            <w:pPr>
              <w:pStyle w:val="Paragraphedeliste"/>
              <w:spacing w:after="0" w:line="240" w:lineRule="auto"/>
              <w:ind w:left="36"/>
              <w:rPr>
                <w:rFonts w:cs="Calibri"/>
                <w:b/>
                <w:color w:val="C00000"/>
                <w:sz w:val="20"/>
                <w:szCs w:val="20"/>
                <w:lang w:val="fr-BE"/>
              </w:rPr>
            </w:pPr>
            <w:r>
              <w:rPr>
                <w:rFonts w:cs="Calibri"/>
                <w:b/>
                <w:color w:val="C00000"/>
                <w:sz w:val="20"/>
                <w:szCs w:val="20"/>
                <w:lang w:val="fr-BE"/>
              </w:rPr>
              <w:t>Il y a un réel besoin d’établir des rapports, d’assurer le suivi des rapports et surtout de contrôle/supervision concret des institutions. Une attention particulière devrait être accordée aux femmes et aux filles handicapées. La coopération entre les entités fédérées à cet égard est recommandée.</w:t>
            </w:r>
          </w:p>
          <w:p w14:paraId="0A73C7F8" w14:textId="77777777" w:rsidR="00E57C42" w:rsidRDefault="00E866B6">
            <w:pPr>
              <w:spacing w:after="0" w:line="240" w:lineRule="auto"/>
              <w:ind w:left="603"/>
              <w:rPr>
                <w:rFonts w:cs="Calibri"/>
                <w:color w:val="0070C0"/>
                <w:lang w:val="fr-BE"/>
              </w:rPr>
            </w:pPr>
            <w:r>
              <w:rPr>
                <w:rFonts w:cs="Calibri"/>
                <w:color w:val="0070C0"/>
                <w:lang w:val="fr-BE"/>
              </w:rPr>
              <w:t>Lien CSNPH, avis Platform, p. 15.</w:t>
            </w:r>
          </w:p>
          <w:p w14:paraId="16CB2966" w14:textId="77777777" w:rsidR="00E57C42" w:rsidRDefault="00E57C42">
            <w:pPr>
              <w:spacing w:after="0" w:line="240" w:lineRule="auto"/>
              <w:rPr>
                <w:rFonts w:cs="Calibri"/>
                <w:lang w:val="fr-BE"/>
              </w:rPr>
            </w:pPr>
          </w:p>
        </w:tc>
        <w:tc>
          <w:tcPr>
            <w:tcW w:w="13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FD94B" w14:textId="77777777" w:rsidR="00E57C42" w:rsidRDefault="00E866B6">
            <w:pPr>
              <w:spacing w:after="0" w:line="240" w:lineRule="auto"/>
              <w:rPr>
                <w:rFonts w:cs="Calibri"/>
                <w:u w:val="single"/>
                <w:lang w:val="fr-BE"/>
              </w:rPr>
            </w:pPr>
            <w:r>
              <w:rPr>
                <w:rFonts w:cs="Calibri"/>
                <w:u w:val="single"/>
                <w:lang w:val="fr-BE"/>
              </w:rPr>
              <w:t>Plateforme</w:t>
            </w:r>
          </w:p>
        </w:tc>
      </w:tr>
    </w:tbl>
    <w:p w14:paraId="6C7488AE" w14:textId="77777777" w:rsidR="00E57C42" w:rsidRDefault="00E57C42">
      <w:pPr>
        <w:spacing w:after="0"/>
        <w:rPr>
          <w:rFonts w:cs="Calibri"/>
          <w:lang w:val="fr-BE"/>
        </w:rPr>
      </w:pPr>
    </w:p>
    <w:tbl>
      <w:tblPr>
        <w:tblW w:w="13036" w:type="dxa"/>
        <w:tblCellMar>
          <w:left w:w="10" w:type="dxa"/>
          <w:right w:w="10" w:type="dxa"/>
        </w:tblCellMar>
        <w:tblLook w:val="0000" w:firstRow="0" w:lastRow="0" w:firstColumn="0" w:lastColumn="0" w:noHBand="0" w:noVBand="0"/>
      </w:tblPr>
      <w:tblGrid>
        <w:gridCol w:w="1271"/>
        <w:gridCol w:w="11765"/>
      </w:tblGrid>
      <w:tr w:rsidR="00E57C42" w14:paraId="2B58D178"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6CF4" w14:textId="77777777" w:rsidR="00E57C42" w:rsidRDefault="00E866B6">
            <w:pPr>
              <w:spacing w:after="0" w:line="240" w:lineRule="auto"/>
              <w:rPr>
                <w:rFonts w:cs="Calibri"/>
                <w:b/>
                <w:bCs/>
                <w:lang w:val="fr-BE"/>
              </w:rPr>
            </w:pPr>
            <w:r>
              <w:rPr>
                <w:rFonts w:cs="Calibri"/>
                <w:b/>
                <w:bCs/>
                <w:lang w:val="fr-BE"/>
              </w:rPr>
              <w:t>Ajout 1</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DC9C4A" w14:textId="77777777" w:rsidR="00E57C42" w:rsidRDefault="00E866B6">
            <w:pPr>
              <w:spacing w:after="0" w:line="240" w:lineRule="auto"/>
              <w:rPr>
                <w:rFonts w:cs="Calibri"/>
                <w:b/>
                <w:bCs/>
                <w:lang w:val="fr-BE"/>
              </w:rPr>
            </w:pPr>
            <w:r>
              <w:rPr>
                <w:rFonts w:cs="Calibri"/>
                <w:b/>
                <w:bCs/>
                <w:lang w:val="fr-BE"/>
              </w:rPr>
              <w:t>Autres sujets absents de la “List of Issues”, mais que le BDF souhaite aborder</w:t>
            </w:r>
          </w:p>
          <w:p w14:paraId="2C649FF2" w14:textId="77777777" w:rsidR="00E57C42" w:rsidRDefault="00E57C42">
            <w:pPr>
              <w:spacing w:after="0" w:line="240" w:lineRule="auto"/>
              <w:rPr>
                <w:rFonts w:cs="Calibri"/>
                <w:b/>
                <w:bCs/>
                <w:lang w:val="fr-BE"/>
              </w:rPr>
            </w:pPr>
          </w:p>
        </w:tc>
      </w:tr>
      <w:tr w:rsidR="00E57C42" w14:paraId="48C37E01"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8B82C" w14:textId="77777777" w:rsidR="00E57C42" w:rsidRDefault="00E57C42">
            <w:pPr>
              <w:spacing w:after="0" w:line="240" w:lineRule="auto"/>
              <w:rPr>
                <w:rFonts w:cs="Calibri"/>
                <w:lang w:val="fr-BE"/>
              </w:rPr>
            </w:pP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6E1FB8" w14:textId="77777777" w:rsidR="00E57C42" w:rsidRDefault="00E57C42">
            <w:pPr>
              <w:spacing w:after="0" w:line="240" w:lineRule="auto"/>
              <w:rPr>
                <w:rFonts w:cs="Calibri"/>
                <w:lang w:val="fr-BE"/>
              </w:rPr>
            </w:pPr>
          </w:p>
        </w:tc>
      </w:tr>
      <w:tr w:rsidR="00E57C42" w14:paraId="19D9AB96"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0EC5D3FE" w14:textId="77777777" w:rsidR="00E57C42" w:rsidRDefault="00E57C42">
            <w:pPr>
              <w:spacing w:after="0" w:line="240" w:lineRule="auto"/>
              <w:rPr>
                <w:rFonts w:cs="Calibri"/>
                <w:sz w:val="8"/>
                <w:szCs w:val="8"/>
                <w:lang w:val="fr-BE"/>
              </w:rPr>
            </w:pPr>
          </w:p>
        </w:tc>
        <w:tc>
          <w:tcPr>
            <w:tcW w:w="1176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14:paraId="566272C4" w14:textId="77777777" w:rsidR="00E57C42" w:rsidRDefault="00E57C42">
            <w:pPr>
              <w:spacing w:after="0" w:line="240" w:lineRule="auto"/>
              <w:rPr>
                <w:rFonts w:cs="Calibri"/>
                <w:sz w:val="8"/>
                <w:szCs w:val="8"/>
                <w:lang w:val="fr-BE"/>
              </w:rPr>
            </w:pPr>
          </w:p>
        </w:tc>
      </w:tr>
      <w:tr w:rsidR="00E57C42" w14:paraId="2E1BBFBF"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85FED" w14:textId="77777777" w:rsidR="00E57C42" w:rsidRDefault="00E866B6">
            <w:pPr>
              <w:spacing w:after="0" w:line="240" w:lineRule="auto"/>
              <w:rPr>
                <w:rFonts w:cs="Calibri"/>
                <w:b/>
                <w:bCs/>
                <w:lang w:val="fr-BE"/>
              </w:rPr>
            </w:pPr>
            <w:r>
              <w:rPr>
                <w:rFonts w:cs="Calibri"/>
                <w:b/>
                <w:bCs/>
                <w:lang w:val="fr-BE"/>
              </w:rPr>
              <w:t>Ajout 2</w:t>
            </w: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4D70C" w14:textId="77777777" w:rsidR="00E57C42" w:rsidRDefault="00E866B6">
            <w:pPr>
              <w:spacing w:after="0" w:line="240" w:lineRule="auto"/>
              <w:rPr>
                <w:rFonts w:cs="Calibri"/>
                <w:b/>
                <w:bCs/>
                <w:lang w:val="fr-BE"/>
              </w:rPr>
            </w:pPr>
            <w:bookmarkStart w:id="4" w:name="_Hlk117418530"/>
            <w:r>
              <w:rPr>
                <w:rFonts w:cs="Calibri"/>
                <w:b/>
                <w:bCs/>
                <w:lang w:val="fr-BE"/>
              </w:rPr>
              <w:t>Impact de la crise Covid-19 sur la situation des personnes handicapées</w:t>
            </w:r>
            <w:bookmarkEnd w:id="4"/>
          </w:p>
          <w:p w14:paraId="3CDAB9EE" w14:textId="77777777" w:rsidR="00E57C42" w:rsidRDefault="00E57C42">
            <w:pPr>
              <w:spacing w:after="0" w:line="240" w:lineRule="auto"/>
              <w:rPr>
                <w:rFonts w:cs="Calibri"/>
                <w:b/>
                <w:bCs/>
                <w:lang w:val="fr-BE"/>
              </w:rPr>
            </w:pPr>
          </w:p>
        </w:tc>
      </w:tr>
      <w:tr w:rsidR="00E57C42" w14:paraId="305C8E41" w14:textId="77777777">
        <w:tblPrEx>
          <w:tblCellMar>
            <w:top w:w="0" w:type="dxa"/>
            <w:bottom w:w="0" w:type="dxa"/>
          </w:tblCellMar>
        </w:tblPrEx>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C585" w14:textId="77777777" w:rsidR="00E57C42" w:rsidRDefault="00E57C42">
            <w:pPr>
              <w:spacing w:after="0" w:line="240" w:lineRule="auto"/>
              <w:rPr>
                <w:rFonts w:cs="Calibri"/>
                <w:lang w:val="fr-BE"/>
              </w:rPr>
            </w:pPr>
          </w:p>
        </w:tc>
        <w:tc>
          <w:tcPr>
            <w:tcW w:w="117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175ED" w14:textId="77777777" w:rsidR="00E57C42" w:rsidRDefault="00E866B6">
            <w:pPr>
              <w:spacing w:after="0" w:line="240" w:lineRule="auto"/>
              <w:rPr>
                <w:rFonts w:cs="Calibri"/>
                <w:lang w:val="fr-BE"/>
              </w:rPr>
            </w:pPr>
            <w:bookmarkStart w:id="5" w:name="_Hlk117418550"/>
            <w:r>
              <w:rPr>
                <w:rFonts w:cs="Calibri"/>
                <w:lang w:val="fr-BE"/>
              </w:rPr>
              <w:t xml:space="preserve">Dans le cadre de la crise Covid-19, le BDF craint que les situations d’isolement, tant en milieu institutionnel qu’en situation de vie dans la communauté aient été telles que l’identification des abus, voire des violences aient été rendues encore plus compliquées. </w:t>
            </w:r>
          </w:p>
          <w:p w14:paraId="5795F39E" w14:textId="77777777" w:rsidR="00E57C42" w:rsidRDefault="00E57C42">
            <w:pPr>
              <w:spacing w:after="0" w:line="240" w:lineRule="auto"/>
              <w:rPr>
                <w:rFonts w:cs="Calibri"/>
                <w:lang w:val="fr-BE"/>
              </w:rPr>
            </w:pPr>
          </w:p>
          <w:p w14:paraId="2EAFCB2B" w14:textId="77777777" w:rsidR="00E57C42" w:rsidRDefault="00E866B6">
            <w:pPr>
              <w:spacing w:after="0"/>
              <w:rPr>
                <w:rFonts w:cs="Calibri"/>
                <w:lang w:val="fr-BE"/>
              </w:rPr>
            </w:pPr>
            <w:r>
              <w:rPr>
                <w:rFonts w:cs="Calibri"/>
                <w:lang w:val="fr-BE"/>
              </w:rPr>
              <w:t xml:space="preserve">Une fois la crise Covid-19 passée, les autorités ne devraient-elles pas mettre en place un travail psychologique systématique (groupe de parole ou </w:t>
            </w:r>
            <w:r>
              <w:rPr>
                <w:rFonts w:cs="Calibri"/>
                <w:lang w:val="fr-BE"/>
              </w:rPr>
              <w:t>processus similaire) avec les personnes vivant en institution pour leur permettre d’exprimer ce qu’elles ont vécu ? Une telle procédure pourrait permettre d’identifier les blocages éventuels et d’initier un travail psychologique individuel quand cela s’avèrera nécessaire.</w:t>
            </w:r>
          </w:p>
          <w:bookmarkEnd w:id="5"/>
          <w:p w14:paraId="2911F123" w14:textId="77777777" w:rsidR="00E57C42" w:rsidRDefault="00E57C42">
            <w:pPr>
              <w:spacing w:after="0"/>
              <w:rPr>
                <w:rFonts w:cs="Calibri"/>
                <w:lang w:val="fr-BE"/>
              </w:rPr>
            </w:pPr>
          </w:p>
        </w:tc>
      </w:tr>
    </w:tbl>
    <w:p w14:paraId="69CA127A" w14:textId="77777777" w:rsidR="00E57C42" w:rsidRDefault="00E57C42">
      <w:pPr>
        <w:rPr>
          <w:rFonts w:cs="Calibri"/>
          <w:lang w:val="fr-BE"/>
        </w:rPr>
      </w:pPr>
    </w:p>
    <w:sectPr w:rsidR="00E57C42">
      <w:pgSz w:w="15840" w:h="12240" w:orient="landscape"/>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32313" w14:textId="77777777" w:rsidR="00E866B6" w:rsidRDefault="00E866B6">
      <w:pPr>
        <w:spacing w:after="0" w:line="240" w:lineRule="auto"/>
      </w:pPr>
      <w:r>
        <w:separator/>
      </w:r>
    </w:p>
  </w:endnote>
  <w:endnote w:type="continuationSeparator" w:id="0">
    <w:p w14:paraId="2B81879B" w14:textId="77777777" w:rsidR="00E866B6" w:rsidRDefault="00E8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3BB60" w14:textId="77777777" w:rsidR="00E866B6" w:rsidRDefault="00E866B6">
      <w:pPr>
        <w:spacing w:after="0" w:line="240" w:lineRule="auto"/>
      </w:pPr>
      <w:r>
        <w:rPr>
          <w:color w:val="000000"/>
        </w:rPr>
        <w:separator/>
      </w:r>
    </w:p>
  </w:footnote>
  <w:footnote w:type="continuationSeparator" w:id="0">
    <w:p w14:paraId="1DEDF5DF" w14:textId="77777777" w:rsidR="00E866B6" w:rsidRDefault="00E866B6">
      <w:pPr>
        <w:spacing w:after="0" w:line="240" w:lineRule="auto"/>
      </w:pPr>
      <w:r>
        <w:continuationSeparator/>
      </w:r>
    </w:p>
  </w:footnote>
  <w:footnote w:id="1">
    <w:p w14:paraId="725FE133" w14:textId="77777777" w:rsidR="00E57C42" w:rsidRDefault="00E866B6">
      <w:pPr>
        <w:pStyle w:val="Notedebasdepage"/>
      </w:pPr>
      <w:r>
        <w:rPr>
          <w:rStyle w:val="Voetnootmarkering"/>
        </w:rPr>
        <w:footnoteRef/>
      </w:r>
      <w:r>
        <w:rPr>
          <w:rStyle w:val="Policepardfaut"/>
          <w:lang w:val="nl-BE"/>
        </w:rPr>
        <w:t xml:space="preserve"> Dr. Tina GOETHALS, Prof. Dr. Geert VAN HOVE, Prof. Dr. Freya VANDER LAENEN, </w:t>
      </w:r>
      <w:r>
        <w:rPr>
          <w:rStyle w:val="Policepardfaut"/>
          <w:i/>
          <w:lang w:val="nl-BE"/>
        </w:rPr>
        <w:t>Onderzoek in opdracht van Vlaams Minister van Gelijke Kansen in de periode 2014-2019</w:t>
      </w:r>
      <w:r>
        <w:rPr>
          <w:rStyle w:val="Policepardfaut"/>
          <w:lang w:val="nl-BE"/>
        </w:rPr>
        <w:t>, Gent, 2018.</w:t>
      </w:r>
    </w:p>
  </w:footnote>
  <w:footnote w:id="2">
    <w:p w14:paraId="634F66E6" w14:textId="77777777" w:rsidR="00E57C42" w:rsidRDefault="00E866B6">
      <w:pPr>
        <w:pStyle w:val="Notedebasdepage"/>
      </w:pPr>
      <w:r>
        <w:rPr>
          <w:rStyle w:val="Voetnootmarkering"/>
        </w:rPr>
        <w:footnoteRef/>
      </w:r>
      <w:r>
        <w:rPr>
          <w:rStyle w:val="Policepardfaut"/>
          <w:lang w:val="fr-BE"/>
        </w:rPr>
        <w:t xml:space="preserve"> Servais (L.), Leach (R.), Jacques (D.) et Rousseaux (J.-P.), </w:t>
      </w:r>
      <w:r>
        <w:rPr>
          <w:rStyle w:val="Policepardfaut"/>
          <w:i/>
          <w:iCs/>
          <w:lang w:val="fr-BE"/>
        </w:rPr>
        <w:t xml:space="preserve">Sterilisation of intellectualy disabled women, </w:t>
      </w:r>
      <w:r>
        <w:rPr>
          <w:rStyle w:val="Policepardfaut"/>
          <w:lang w:val="fr-BE"/>
        </w:rPr>
        <w:t xml:space="preserve">dans </w:t>
      </w:r>
      <w:r>
        <w:rPr>
          <w:rStyle w:val="Policepardfaut"/>
          <w:i/>
          <w:iCs/>
          <w:lang w:val="fr-BE"/>
        </w:rPr>
        <w:t>European Psychiatry</w:t>
      </w:r>
      <w:r>
        <w:rPr>
          <w:rStyle w:val="Policepardfaut"/>
          <w:lang w:val="fr-BE"/>
        </w:rPr>
        <w:t>, 2004, p.428-432</w:t>
      </w:r>
      <w:hyperlink r:id="rId1" w:history="1">
        <w:r>
          <w:rPr>
            <w:rStyle w:val="Lienhypertexte"/>
            <w:lang w:val="fr-BE"/>
          </w:rPr>
          <w:t xml:space="preserve"> (http://www.ncbi.nlm.nih.gov/pubmed/15504650.</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626C7E"/>
    <w:multiLevelType w:val="multilevel"/>
    <w:tmpl w:val="BBECCC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0297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E57C42"/>
    <w:rsid w:val="00E57C42"/>
    <w:rsid w:val="00E866B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6DA64"/>
  <w15:docId w15:val="{B8FC5045-94E2-4EC8-BDE8-CBBA0D8ED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itre3">
    <w:name w:val="Titre 3"/>
    <w:basedOn w:val="Standaard"/>
    <w:next w:val="Standaard"/>
    <w:pPr>
      <w:keepNext/>
      <w:keepLines/>
      <w:spacing w:before="40" w:after="0"/>
      <w:outlineLvl w:val="2"/>
    </w:pPr>
    <w:rPr>
      <w:rFonts w:ascii="Calibri Light" w:eastAsia="Times New Roman" w:hAnsi="Calibri Light"/>
      <w:color w:val="1F3763"/>
      <w:sz w:val="24"/>
      <w:szCs w:val="24"/>
    </w:rPr>
  </w:style>
  <w:style w:type="character" w:customStyle="1" w:styleId="Policepardfaut">
    <w:name w:val="Police par défaut"/>
  </w:style>
  <w:style w:type="paragraph" w:customStyle="1" w:styleId="SingleTxtG">
    <w:name w:val="_ Single Txt_G"/>
    <w:basedOn w:val="Standaard"/>
    <w:pPr>
      <w:overflowPunct w:val="0"/>
      <w:autoSpaceDE w:val="0"/>
      <w:snapToGrid w:val="0"/>
      <w:spacing w:after="120" w:line="240" w:lineRule="atLeast"/>
      <w:ind w:left="1134" w:right="1134"/>
      <w:jc w:val="both"/>
    </w:pPr>
    <w:rPr>
      <w:rFonts w:ascii="Times New Roman" w:hAnsi="Times New Roman"/>
      <w:sz w:val="20"/>
      <w:szCs w:val="20"/>
      <w:lang w:val="fr-CH"/>
    </w:rPr>
  </w:style>
  <w:style w:type="character" w:customStyle="1" w:styleId="SingleTxtGChar">
    <w:name w:val="_ Single Txt_G Char"/>
    <w:rPr>
      <w:rFonts w:ascii="Times New Roman" w:hAnsi="Times New Roman" w:cs="Times New Roman"/>
      <w:sz w:val="20"/>
      <w:szCs w:val="20"/>
      <w:lang w:val="fr-CH"/>
    </w:rPr>
  </w:style>
  <w:style w:type="character" w:customStyle="1" w:styleId="Lienhypertexte">
    <w:name w:val="Lien hypertexte"/>
    <w:basedOn w:val="Policepardfaut"/>
    <w:rPr>
      <w:color w:val="0563C1"/>
      <w:u w:val="single"/>
    </w:rPr>
  </w:style>
  <w:style w:type="paragraph" w:customStyle="1" w:styleId="Notedebasdepage">
    <w:name w:val="Note de bas de page"/>
    <w:basedOn w:val="Standaard"/>
    <w:pPr>
      <w:spacing w:after="0" w:line="240" w:lineRule="auto"/>
    </w:pPr>
    <w:rPr>
      <w:sz w:val="20"/>
      <w:szCs w:val="20"/>
    </w:rPr>
  </w:style>
  <w:style w:type="character" w:customStyle="1" w:styleId="NotedebasdepageCar">
    <w:name w:val="Note de bas de page Car"/>
    <w:basedOn w:val="Policepardfaut"/>
    <w:rPr>
      <w:sz w:val="20"/>
      <w:szCs w:val="20"/>
    </w:rPr>
  </w:style>
  <w:style w:type="character" w:customStyle="1" w:styleId="Appelnotedebasdep">
    <w:name w:val="Appel note de bas de p."/>
    <w:basedOn w:val="Policepardfaut"/>
    <w:rPr>
      <w:position w:val="0"/>
      <w:vertAlign w:val="superscript"/>
    </w:rPr>
  </w:style>
  <w:style w:type="paragraph" w:customStyle="1" w:styleId="Paragraphedeliste">
    <w:name w:val="Paragraphe de liste"/>
    <w:basedOn w:val="Standaard"/>
    <w:pPr>
      <w:ind w:left="720"/>
      <w:contextualSpacing/>
    </w:pPr>
  </w:style>
  <w:style w:type="paragraph" w:customStyle="1" w:styleId="Textedebulles">
    <w:name w:val="Texte de bulles"/>
    <w:basedOn w:val="Standaard"/>
    <w:pPr>
      <w:spacing w:after="0" w:line="240" w:lineRule="auto"/>
    </w:pPr>
    <w:rPr>
      <w:rFonts w:ascii="Segoe UI" w:hAnsi="Segoe UI" w:cs="Segoe UI"/>
      <w:sz w:val="18"/>
      <w:szCs w:val="18"/>
    </w:rPr>
  </w:style>
  <w:style w:type="character" w:customStyle="1" w:styleId="TextedebullesCar">
    <w:name w:val="Texte de bulles Car"/>
    <w:basedOn w:val="Policepardfaut"/>
    <w:rPr>
      <w:rFonts w:ascii="Segoe UI" w:hAnsi="Segoe UI" w:cs="Segoe UI"/>
      <w:sz w:val="18"/>
      <w:szCs w:val="18"/>
    </w:rPr>
  </w:style>
  <w:style w:type="character" w:customStyle="1" w:styleId="Marquedecommentaire">
    <w:name w:val="Marque de commentaire"/>
    <w:basedOn w:val="Policepardfaut"/>
    <w:rPr>
      <w:sz w:val="16"/>
      <w:szCs w:val="16"/>
    </w:rPr>
  </w:style>
  <w:style w:type="paragraph" w:customStyle="1" w:styleId="Commentaire">
    <w:name w:val="Commentaire"/>
    <w:basedOn w:val="Standaard"/>
    <w:pPr>
      <w:spacing w:line="240" w:lineRule="auto"/>
    </w:pPr>
    <w:rPr>
      <w:sz w:val="20"/>
      <w:szCs w:val="20"/>
    </w:rPr>
  </w:style>
  <w:style w:type="character" w:customStyle="1" w:styleId="CommentaireCar">
    <w:name w:val="Commentaire Car"/>
    <w:basedOn w:val="Policepardfaut"/>
    <w:rPr>
      <w:sz w:val="20"/>
      <w:szCs w:val="20"/>
    </w:rPr>
  </w:style>
  <w:style w:type="character" w:customStyle="1" w:styleId="Titre3Car">
    <w:name w:val="Titre 3 Car"/>
    <w:basedOn w:val="Policepardfaut"/>
    <w:rPr>
      <w:rFonts w:ascii="Calibri Light" w:eastAsia="Times New Roman" w:hAnsi="Calibri Light" w:cs="Times New Roman"/>
      <w:color w:val="1F3763"/>
      <w:sz w:val="24"/>
      <w:szCs w:val="24"/>
    </w:rPr>
  </w:style>
  <w:style w:type="character" w:customStyle="1" w:styleId="ParagraphedelisteCar">
    <w:name w:val="Paragraphe de liste Car"/>
    <w:basedOn w:val="Policepardfaut"/>
  </w:style>
  <w:style w:type="character" w:styleId="Voetnootmarkering">
    <w:name w:val="footnote reference"/>
    <w:basedOn w:val="Standaardalinea-lettertyp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ncbi.nlm.nih.gov/pubmed/1550465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1020</Words>
  <Characters>5610</Characters>
  <Application>Microsoft Office Word</Application>
  <DocSecurity>0</DocSecurity>
  <Lines>46</Lines>
  <Paragraphs>13</Paragraphs>
  <ScaleCrop>false</ScaleCrop>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Berlanger Marjorie</dc:creator>
  <dc:description/>
  <cp:lastModifiedBy>Van De Perre Frederik</cp:lastModifiedBy>
  <cp:revision>2</cp:revision>
  <dcterms:created xsi:type="dcterms:W3CDTF">2023-11-28T13:44:00Z</dcterms:created>
  <dcterms:modified xsi:type="dcterms:W3CDTF">2023-11-28T13:44:00Z</dcterms:modified>
</cp:coreProperties>
</file>