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26583F3E" w:rsidR="006E30F1" w:rsidRPr="0093351E" w:rsidRDefault="006E30F1" w:rsidP="006F1189">
      <w:pPr>
        <w:pStyle w:val="Kop3"/>
        <w:rPr>
          <w:iCs/>
          <w:lang w:val="nl-BE"/>
        </w:rPr>
      </w:pPr>
      <w:r w:rsidRPr="0093351E">
        <w:rPr>
          <w:lang w:val="nl-BE"/>
        </w:rPr>
        <w:t xml:space="preserve">Artikel </w:t>
      </w:r>
      <w:r w:rsidR="0093351E">
        <w:rPr>
          <w:lang w:val="nl-BE"/>
        </w:rPr>
        <w:t>13</w:t>
      </w:r>
      <w:r w:rsidRPr="0093351E">
        <w:rPr>
          <w:lang w:val="nl-BE"/>
        </w:rPr>
        <w:t xml:space="preserve"> - </w:t>
      </w:r>
      <w:r w:rsidR="00901C32" w:rsidRPr="00901C32">
        <w:rPr>
          <w:lang w:val="nl-BE"/>
        </w:rPr>
        <w:t>Toegang tot de rechter</w:t>
      </w:r>
    </w:p>
    <w:p w14:paraId="5513ED5B" w14:textId="0350FD76" w:rsidR="00901C32" w:rsidRPr="00D504A9" w:rsidRDefault="006F1189" w:rsidP="00DC3C6B">
      <w:pPr>
        <w:pStyle w:val="Kop4"/>
        <w:rPr>
          <w:lang w:val="nl-BE"/>
        </w:rPr>
      </w:pPr>
      <w:r w:rsidRPr="00D504A9">
        <w:rPr>
          <w:lang w:val="nl-BE"/>
        </w:rPr>
        <w:t xml:space="preserve">Vraag 12: Geef informatie over maatregelen die op federaal, regionaal en gemeenschapsniveau zijn genomen om </w:t>
      </w:r>
      <w:r w:rsidRPr="00D504A9">
        <w:rPr>
          <w:lang w:val="nl-BE"/>
        </w:rPr>
        <w:br/>
      </w:r>
      <w:r w:rsidR="00901C32" w:rsidRPr="00D504A9">
        <w:rPr>
          <w:lang w:val="nl-BE"/>
        </w:rPr>
        <w:t>a) regelmatig opleidingen over de rechten van personen met een handicap en het mensenrechtenmodel van handicaps te geven aan personeel dat werkzaam is in de justitiële sector, met inbegrip van advocaten, officieren van justitie, rechters en gerechtsmedewerkers;</w:t>
      </w:r>
    </w:p>
    <w:p w14:paraId="1FCB4BC5" w14:textId="016A36AD" w:rsidR="00901C32" w:rsidRPr="00C4164D" w:rsidRDefault="007A43A5" w:rsidP="00901C32">
      <w:pPr>
        <w:rPr>
          <w:lang w:val="nl-BE"/>
        </w:rPr>
      </w:pPr>
      <w:r w:rsidRPr="007A43A5">
        <w:rPr>
          <w:lang w:val="nl-BE"/>
        </w:rPr>
        <w:t>Gelijke toegang tot de rechter is een grondrecht. Dit geldt voor alle aspecten van het rechtssysteem, van de politie tot de rechtbanken</w:t>
      </w:r>
      <w:r w:rsidR="00B710C1">
        <w:rPr>
          <w:lang w:val="nl-BE"/>
        </w:rPr>
        <w:t xml:space="preserve">, advocaten inbegrepen. </w:t>
      </w:r>
    </w:p>
    <w:p w14:paraId="3ABDB191" w14:textId="62C04598" w:rsidR="00231B18" w:rsidRPr="00C4164D" w:rsidRDefault="00B710C1" w:rsidP="00901C32">
      <w:pPr>
        <w:rPr>
          <w:lang w:val="nl-BE"/>
        </w:rPr>
      </w:pPr>
      <w:r>
        <w:rPr>
          <w:lang w:val="nl-BE"/>
        </w:rPr>
        <w:t xml:space="preserve">Personen met een handicap </w:t>
      </w:r>
      <w:r w:rsidR="00231B18" w:rsidRPr="00C4164D">
        <w:rPr>
          <w:lang w:val="nl-BE"/>
        </w:rPr>
        <w:t xml:space="preserve">starten vaak niet eens een procedure, omdat ze de weg er naartoe niet begrijpen. Dat komt door ingewikkelde wetten en regelgeving </w:t>
      </w:r>
      <w:r w:rsidR="007A3094">
        <w:rPr>
          <w:lang w:val="nl-BE"/>
        </w:rPr>
        <w:t>en</w:t>
      </w:r>
      <w:r w:rsidR="00231B18" w:rsidRPr="00C4164D">
        <w:rPr>
          <w:lang w:val="nl-BE"/>
        </w:rPr>
        <w:t xml:space="preserve"> een gebrek aan toegankelijke informatie hierover. Het niet opnemen van hun rechten is hier groot.</w:t>
      </w:r>
      <w:r w:rsidR="00C4164D">
        <w:rPr>
          <w:lang w:val="nl-BE"/>
        </w:rPr>
        <w:t xml:space="preserve"> </w:t>
      </w:r>
    </w:p>
    <w:p w14:paraId="62AA96EA" w14:textId="0EFE0952" w:rsidR="00285BEF" w:rsidRDefault="00285BEF" w:rsidP="00901C32">
      <w:pPr>
        <w:rPr>
          <w:lang w:val="nl-BE"/>
        </w:rPr>
      </w:pPr>
      <w:r>
        <w:rPr>
          <w:lang w:val="nl-BE"/>
        </w:rPr>
        <w:t>D</w:t>
      </w:r>
      <w:r w:rsidRPr="00285BEF">
        <w:rPr>
          <w:lang w:val="nl-BE"/>
        </w:rPr>
        <w:t>e rechten van mensen met een handicap moet deel uitmaken van de basisopleiding voor alle betrokken beroepen.</w:t>
      </w:r>
    </w:p>
    <w:p w14:paraId="27338091" w14:textId="1ED4F93B" w:rsidR="00231B18" w:rsidRDefault="00231B18" w:rsidP="00901C32">
      <w:pPr>
        <w:rPr>
          <w:lang w:val="nl-BE"/>
        </w:rPr>
      </w:pPr>
      <w:r w:rsidRPr="00C4164D">
        <w:rPr>
          <w:lang w:val="nl-BE"/>
        </w:rPr>
        <w:t xml:space="preserve">Het Belgian Disability Forum </w:t>
      </w:r>
      <w:r w:rsidR="00B710C1">
        <w:rPr>
          <w:lang w:val="nl-BE"/>
        </w:rPr>
        <w:t xml:space="preserve">vzw (BDF) </w:t>
      </w:r>
      <w:r w:rsidRPr="00C4164D">
        <w:rPr>
          <w:lang w:val="nl-BE"/>
        </w:rPr>
        <w:t xml:space="preserve">vraagt politie en justitie, de advocatuur en de Rechtspraak mensen werkzaam voor deze instanties standaard en op terugkerende basis te trainen in de rechten van </w:t>
      </w:r>
      <w:r w:rsidR="007A3094">
        <w:rPr>
          <w:lang w:val="nl-BE"/>
        </w:rPr>
        <w:t>personen met een handicap</w:t>
      </w:r>
      <w:r w:rsidRPr="00C4164D">
        <w:rPr>
          <w:lang w:val="nl-BE"/>
        </w:rPr>
        <w:t xml:space="preserve">. </w:t>
      </w:r>
      <w:r w:rsidR="00B710C1">
        <w:rPr>
          <w:lang w:val="nl-BE"/>
        </w:rPr>
        <w:t>Personen met een handicap</w:t>
      </w:r>
      <w:r w:rsidR="007A3094">
        <w:rPr>
          <w:lang w:val="nl-BE"/>
        </w:rPr>
        <w:t xml:space="preserve"> </w:t>
      </w:r>
      <w:r w:rsidRPr="00C4164D">
        <w:rPr>
          <w:lang w:val="nl-BE"/>
        </w:rPr>
        <w:t xml:space="preserve">moeten betrokken worden bij het ontwikkelen en geven van de training. Ook om de participatie van mensen in bezwaarprocedures en bij klachtprocedures in de gedwongen of verplichte zorg te vergroten, moeten </w:t>
      </w:r>
      <w:r w:rsidR="00B710C1">
        <w:rPr>
          <w:lang w:val="nl-BE"/>
        </w:rPr>
        <w:t>personen met een handicap</w:t>
      </w:r>
      <w:r w:rsidR="00B710C1" w:rsidRPr="00C4164D">
        <w:rPr>
          <w:lang w:val="nl-BE"/>
        </w:rPr>
        <w:t xml:space="preserve"> betrokken</w:t>
      </w:r>
      <w:r w:rsidRPr="00C4164D">
        <w:rPr>
          <w:lang w:val="nl-BE"/>
        </w:rPr>
        <w:t xml:space="preserve"> worden bij de ontwikkeling van deze procedures.</w:t>
      </w:r>
    </w:p>
    <w:p w14:paraId="3DE306A9" w14:textId="30303506" w:rsidR="003D15BA" w:rsidRPr="00DC3C6B" w:rsidRDefault="00285BEF" w:rsidP="00285BEF">
      <w:pPr>
        <w:rPr>
          <w:lang w:val="nl-BE"/>
        </w:rPr>
      </w:pPr>
      <w:r w:rsidRPr="00285BEF">
        <w:rPr>
          <w:lang w:val="nl-BE"/>
        </w:rPr>
        <w:t xml:space="preserve">De Belgische justitie kampt momenteel met een aanzienlijke achterstand. Tegelijkertijd heeft het te kampen met regelmatige bezuinigingen. </w:t>
      </w:r>
      <w:r w:rsidR="003D15BA" w:rsidRPr="00575D3F">
        <w:rPr>
          <w:lang w:val="nl-BE"/>
        </w:rPr>
        <w:t xml:space="preserve">Volgens de Hoge Raad voor </w:t>
      </w:r>
      <w:r w:rsidR="003D15BA">
        <w:rPr>
          <w:lang w:val="nl-BE"/>
        </w:rPr>
        <w:t xml:space="preserve">de </w:t>
      </w:r>
      <w:r w:rsidR="003D15BA" w:rsidRPr="00575D3F">
        <w:rPr>
          <w:lang w:val="nl-BE"/>
        </w:rPr>
        <w:t>Justitie is er in 2018 een tekort van 54 rechters en 110 griffiers in België</w:t>
      </w:r>
      <w:r w:rsidR="003D15BA" w:rsidRPr="0065275E">
        <w:rPr>
          <w:vertAlign w:val="superscript"/>
          <w:lang w:val="fr-BE"/>
        </w:rPr>
        <w:footnoteReference w:id="1"/>
      </w:r>
      <w:r w:rsidR="003D15BA">
        <w:rPr>
          <w:lang w:val="nl-BE"/>
        </w:rPr>
        <w:t>.</w:t>
      </w:r>
    </w:p>
    <w:p w14:paraId="258C9A7D" w14:textId="7DBC5A59" w:rsidR="00285BEF" w:rsidRPr="00285BEF" w:rsidRDefault="00285BEF" w:rsidP="00285BEF">
      <w:pPr>
        <w:rPr>
          <w:lang w:val="nl-BE"/>
        </w:rPr>
      </w:pPr>
      <w:r w:rsidRPr="00285BEF">
        <w:rPr>
          <w:lang w:val="nl-BE"/>
        </w:rPr>
        <w:t xml:space="preserve">Dit maakt het moeilijk voor justitie om te voldoen aan haar plicht om iedereen gelijke toegang tot justitie te bieden. </w:t>
      </w:r>
      <w:r>
        <w:rPr>
          <w:lang w:val="nl-BE"/>
        </w:rPr>
        <w:t>Personen</w:t>
      </w:r>
      <w:r w:rsidRPr="00285BEF">
        <w:rPr>
          <w:lang w:val="nl-BE"/>
        </w:rPr>
        <w:t xml:space="preserve"> met een handicap mogen echter niet lijden onder de politieke keuzes die aan de basis liggen van deze stand van zaken. </w:t>
      </w:r>
    </w:p>
    <w:p w14:paraId="0838BDE5" w14:textId="5D8E38FC" w:rsidR="003D6CD7" w:rsidRPr="00C4164D" w:rsidRDefault="00285BEF" w:rsidP="00285BEF">
      <w:pPr>
        <w:rPr>
          <w:lang w:val="nl-BE"/>
        </w:rPr>
      </w:pPr>
      <w:r>
        <w:rPr>
          <w:lang w:val="nl-BE"/>
        </w:rPr>
        <w:t xml:space="preserve">Het </w:t>
      </w:r>
      <w:r w:rsidRPr="00285BEF">
        <w:rPr>
          <w:lang w:val="nl-BE"/>
        </w:rPr>
        <w:t>BDF is van mening dat toegang tot justitie voor iedereen een prioritaire herfinanciering van de sector rechtvaardigt.</w:t>
      </w:r>
    </w:p>
    <w:p w14:paraId="55267BCA" w14:textId="2E0AB2DD" w:rsidR="00901C32" w:rsidRPr="00D504A9" w:rsidRDefault="006F1189" w:rsidP="00DC3C6B">
      <w:pPr>
        <w:pStyle w:val="Kop4"/>
        <w:rPr>
          <w:lang w:val="nl-BE"/>
        </w:rPr>
      </w:pPr>
      <w:r w:rsidRPr="00D504A9">
        <w:rPr>
          <w:lang w:val="nl-BE"/>
        </w:rPr>
        <w:lastRenderedPageBreak/>
        <w:t xml:space="preserve">Vraag 12: Geef informatie over maatregelen die op federaal, regionaal en gemeenschapsniveau zijn genomen om </w:t>
      </w:r>
      <w:r w:rsidRPr="00D504A9">
        <w:rPr>
          <w:lang w:val="nl-BE"/>
        </w:rPr>
        <w:br/>
      </w:r>
      <w:r w:rsidR="00901C32" w:rsidRPr="00D504A9">
        <w:rPr>
          <w:lang w:val="nl-BE"/>
        </w:rPr>
        <w:t>b) individuele behoeften te beoordelen en geïndividualiseerde steun te verlenen aan gedetineerden met een handicap, en ervoor te zorgen dat de relevante informatie voor hen toegankelijk is, zodat zij aan gerechtelijke procedures kunnen deelnemen;</w:t>
      </w:r>
    </w:p>
    <w:p w14:paraId="13779F02" w14:textId="6BBCB169" w:rsidR="00285BEF" w:rsidRDefault="003D15BA" w:rsidP="00901C32">
      <w:pPr>
        <w:rPr>
          <w:lang w:val="nl-BE"/>
        </w:rPr>
      </w:pPr>
      <w:r w:rsidRPr="003D15BA">
        <w:rPr>
          <w:lang w:val="nl-BE"/>
        </w:rPr>
        <w:t xml:space="preserve">Het antwoord van de Belgische </w:t>
      </w:r>
      <w:r>
        <w:rPr>
          <w:lang w:val="nl-BE"/>
        </w:rPr>
        <w:t>staat</w:t>
      </w:r>
      <w:r w:rsidRPr="003D15BA">
        <w:rPr>
          <w:lang w:val="nl-BE"/>
        </w:rPr>
        <w:t xml:space="preserve"> op deze vraag is vrij uitgebreid. Het geeft echter geen antwoord op de vragen over de overbelasting van het rechtssysteem.</w:t>
      </w:r>
    </w:p>
    <w:p w14:paraId="016B8483" w14:textId="1B6F2F55" w:rsidR="00901C32" w:rsidRDefault="00D27665" w:rsidP="00901C32">
      <w:pPr>
        <w:rPr>
          <w:lang w:val="nl-BE"/>
        </w:rPr>
      </w:pPr>
      <w:r>
        <w:rPr>
          <w:lang w:val="nl-BE"/>
        </w:rPr>
        <w:t>De</w:t>
      </w:r>
      <w:r w:rsidR="00901C32" w:rsidRPr="00901C32">
        <w:rPr>
          <w:lang w:val="nl-BE"/>
        </w:rPr>
        <w:t xml:space="preserve"> meeste gevangenissen</w:t>
      </w:r>
      <w:r>
        <w:rPr>
          <w:lang w:val="nl-BE"/>
        </w:rPr>
        <w:t xml:space="preserve"> zijn</w:t>
      </w:r>
      <w:r w:rsidR="00901C32" w:rsidRPr="00901C32">
        <w:rPr>
          <w:lang w:val="nl-BE"/>
        </w:rPr>
        <w:t xml:space="preserve"> erg oud waardoor ze niet aangepast zijn aan de hedendaagse normen bijvoorbeeld qua hygiëne en sanitaire voorzieningen. Bovendien wordt door het groot aantal gedetineerden de maximale capaciteit van de gevangenissen niet altijd gerespecteerd en kampen daardoor een heel aantal gevangenissen met overbevolking.</w:t>
      </w:r>
    </w:p>
    <w:p w14:paraId="40CF6604" w14:textId="77777777" w:rsidR="008B05E9" w:rsidRDefault="00F80ABA" w:rsidP="00901C32">
      <w:pPr>
        <w:rPr>
          <w:lang w:val="nl-BE"/>
        </w:rPr>
      </w:pPr>
      <w:r>
        <w:rPr>
          <w:lang w:val="nl-BE"/>
        </w:rPr>
        <w:t>Te vaak zijn er</w:t>
      </w:r>
      <w:r w:rsidR="00901C32" w:rsidRPr="00901C32">
        <w:rPr>
          <w:lang w:val="nl-BE"/>
        </w:rPr>
        <w:t xml:space="preserve"> te weinig lokalen beschikbaar om </w:t>
      </w:r>
      <w:r w:rsidR="00D27665">
        <w:rPr>
          <w:lang w:val="nl-BE"/>
        </w:rPr>
        <w:t xml:space="preserve">er een </w:t>
      </w:r>
      <w:r w:rsidR="00901C32" w:rsidRPr="00901C32">
        <w:rPr>
          <w:lang w:val="nl-BE"/>
        </w:rPr>
        <w:t xml:space="preserve">aanbod in te organiseren (bv. les geven of therapie) of is er niet steeds bewakend personeel om de gedetineerden naar de locatie in de gevangenis te brengen waar het aanbod doorgaat. </w:t>
      </w:r>
    </w:p>
    <w:p w14:paraId="4600E879" w14:textId="053AB248" w:rsidR="00901C32" w:rsidRDefault="00901C32" w:rsidP="00901C32">
      <w:pPr>
        <w:rPr>
          <w:lang w:val="nl-BE"/>
        </w:rPr>
      </w:pPr>
      <w:r w:rsidRPr="00901C32">
        <w:rPr>
          <w:lang w:val="nl-BE"/>
        </w:rPr>
        <w:t xml:space="preserve">Bijkomend </w:t>
      </w:r>
      <w:r w:rsidRPr="004209F5">
        <w:rPr>
          <w:rFonts w:cstheme="minorHAnsi"/>
          <w:lang w:val="nl-BE"/>
        </w:rPr>
        <w:t xml:space="preserve">kreeg </w:t>
      </w:r>
      <w:r w:rsidR="004209F5" w:rsidRPr="004209F5">
        <w:rPr>
          <w:rFonts w:cstheme="minorHAnsi"/>
          <w:color w:val="696969"/>
          <w:shd w:val="clear" w:color="auto" w:fill="FFFFFF"/>
          <w:lang w:val="nl-BE"/>
        </w:rPr>
        <w:t>Het directoraat-generaal Penitentiaire Inrichtingen (EPI)</w:t>
      </w:r>
      <w:r w:rsidRPr="00901C32">
        <w:rPr>
          <w:lang w:val="nl-BE"/>
        </w:rPr>
        <w:t>vorige legislatuur de opdracht om een grondige besparing op personeelskosten te realiseren.</w:t>
      </w:r>
    </w:p>
    <w:p w14:paraId="7D215F39" w14:textId="77777777" w:rsidR="00ED2EF2" w:rsidRPr="00575D3F" w:rsidRDefault="00ED2EF2" w:rsidP="00ED2EF2">
      <w:pPr>
        <w:rPr>
          <w:lang w:val="nl-BE"/>
        </w:rPr>
      </w:pPr>
      <w:r w:rsidRPr="00575D3F">
        <w:rPr>
          <w:lang w:val="nl-BE"/>
        </w:rPr>
        <w:t>De toegang tot de rechter moet gebaseerd zijn op een solidariteitsbeginsel:</w:t>
      </w:r>
    </w:p>
    <w:p w14:paraId="044F0C6A" w14:textId="77777777" w:rsidR="00ED2EF2" w:rsidRPr="001933EA" w:rsidRDefault="00ED2EF2" w:rsidP="00ED2EF2">
      <w:pPr>
        <w:pStyle w:val="Lijstalinea"/>
        <w:numPr>
          <w:ilvl w:val="0"/>
          <w:numId w:val="6"/>
        </w:numPr>
        <w:spacing w:after="160"/>
        <w:rPr>
          <w:lang w:val="nl-BE"/>
        </w:rPr>
      </w:pPr>
      <w:r w:rsidRPr="001933EA">
        <w:rPr>
          <w:lang w:val="nl-BE"/>
        </w:rPr>
        <w:t xml:space="preserve">Het moet gemakkelijk zijn, zowel financieel als administratief! </w:t>
      </w:r>
    </w:p>
    <w:p w14:paraId="679BF7FA" w14:textId="69DDB326" w:rsidR="00ED2EF2" w:rsidRPr="001933EA" w:rsidRDefault="00ED2EF2" w:rsidP="00ED2EF2">
      <w:pPr>
        <w:pStyle w:val="Lijstalinea"/>
        <w:numPr>
          <w:ilvl w:val="0"/>
          <w:numId w:val="6"/>
        </w:numPr>
        <w:spacing w:after="160"/>
        <w:rPr>
          <w:lang w:val="nl-BE"/>
        </w:rPr>
      </w:pPr>
      <w:r w:rsidRPr="001933EA">
        <w:rPr>
          <w:lang w:val="nl-BE"/>
        </w:rPr>
        <w:t xml:space="preserve">De rechtsbijstand moet worden hervormd, maar niet ten koste van de </w:t>
      </w:r>
      <w:proofErr w:type="spellStart"/>
      <w:r>
        <w:rPr>
          <w:lang w:val="nl-BE"/>
        </w:rPr>
        <w:t>de</w:t>
      </w:r>
      <w:proofErr w:type="spellEnd"/>
      <w:r>
        <w:rPr>
          <w:lang w:val="nl-BE"/>
        </w:rPr>
        <w:t xml:space="preserve"> personen met een handicap</w:t>
      </w:r>
      <w:r w:rsidRPr="001933EA">
        <w:rPr>
          <w:lang w:val="nl-BE"/>
        </w:rPr>
        <w:t xml:space="preserve">, vooral niet door hen te vragen het systeem te financieren! </w:t>
      </w:r>
    </w:p>
    <w:p w14:paraId="7D75CA3F" w14:textId="495030E9" w:rsidR="00E45A8A" w:rsidRDefault="00E45A8A" w:rsidP="00E45A8A">
      <w:pPr>
        <w:pStyle w:val="Kop5"/>
        <w:rPr>
          <w:lang w:val="nl-BE"/>
        </w:rPr>
      </w:pPr>
      <w:r w:rsidRPr="00E45A8A">
        <w:rPr>
          <w:lang w:val="nl-BE"/>
        </w:rPr>
        <w:t>Positieve aanwijzingen</w:t>
      </w:r>
    </w:p>
    <w:p w14:paraId="1B8F6B79" w14:textId="77777777" w:rsidR="00E45A8A" w:rsidRPr="003D6CD7" w:rsidRDefault="00E45A8A" w:rsidP="00E45A8A">
      <w:pPr>
        <w:rPr>
          <w:lang w:val="nl-BE"/>
        </w:rPr>
      </w:pPr>
      <w:r w:rsidRPr="003D6CD7">
        <w:rPr>
          <w:lang w:val="nl-BE"/>
        </w:rPr>
        <w:t>Het Belgian Disability Forum ziet ook</w:t>
      </w:r>
      <w:r>
        <w:rPr>
          <w:lang w:val="nl-BE"/>
        </w:rPr>
        <w:t xml:space="preserve"> positieve tendensen en inspanningen van de overheid:</w:t>
      </w:r>
    </w:p>
    <w:p w14:paraId="681AC943" w14:textId="77777777" w:rsidR="00E45A8A" w:rsidRPr="00D27665" w:rsidRDefault="00E45A8A" w:rsidP="00E45A8A">
      <w:pPr>
        <w:pStyle w:val="Lijstalinea"/>
        <w:numPr>
          <w:ilvl w:val="0"/>
          <w:numId w:val="5"/>
        </w:numPr>
        <w:rPr>
          <w:lang w:val="nl-BE"/>
        </w:rPr>
      </w:pPr>
      <w:r w:rsidRPr="00D27665">
        <w:rPr>
          <w:lang w:val="nl-BE"/>
        </w:rPr>
        <w:t>er verblijven steeds minder en minder geïnterneerden in de gevangenis door de opening van twee Forensisch Psychiatrische Centra (in 2015 in Gent en in 2018 in Antwerpen) voor in totaal 446 geïnterneerden. Tegen 2025 zou er in Aalst een derde Forensisch Psychiatrisch Centrum moeten bijkomen voor nog eens 120 geïnterneerden.</w:t>
      </w:r>
    </w:p>
    <w:p w14:paraId="66A7F40B" w14:textId="77777777" w:rsidR="00E45A8A" w:rsidRDefault="00E45A8A" w:rsidP="00E45A8A">
      <w:pPr>
        <w:pStyle w:val="Lijstalinea"/>
        <w:numPr>
          <w:ilvl w:val="0"/>
          <w:numId w:val="5"/>
        </w:numPr>
        <w:rPr>
          <w:lang w:val="nl-BE"/>
        </w:rPr>
      </w:pPr>
      <w:r w:rsidRPr="00D27665">
        <w:rPr>
          <w:lang w:val="nl-BE"/>
        </w:rPr>
        <w:t xml:space="preserve">De wet van 23 maart 2019 betreffende de organisatie van de penitentiaire diensten en van het statuut van het penitentiaire personeel verankert het principe van functiedifferentiatie. De inwerkingtreding hiervan zal ertoe leiden dat er een onderscheid komt tussen personeel dat zich bezighoudt met de bewaking van gedetineerden en de beveiliging van gebouwen, en hun collega’s die moeten instaan voor de begeleiding van gedetineerden. Zo’n systeem van zogenaamde koude en warme bewaking wordt al gebruikt in andere Europese landen (bv. Schotland en Nederland) en biedt veel kansen voor verbeterde samenwerking met de hulp- en dienstverlening. Zo zullen beambten die instaan voor de begeleiding van gedetineerden hen bijvoorbeeld gericht kunnen informeren over het bestaande aanbod en hen </w:t>
      </w:r>
      <w:proofErr w:type="spellStart"/>
      <w:r w:rsidRPr="00D27665">
        <w:rPr>
          <w:lang w:val="nl-BE"/>
        </w:rPr>
        <w:t>toeleiden</w:t>
      </w:r>
      <w:proofErr w:type="spellEnd"/>
      <w:r w:rsidRPr="00D27665">
        <w:rPr>
          <w:lang w:val="nl-BE"/>
        </w:rPr>
        <w:t xml:space="preserve"> naar de hulp- en dienstverleners. Zij zullen namelijk dichter bij de gedetineerde staan, zien hen in hun dagelijkse functioneren, horen en zien signalen, enz.</w:t>
      </w:r>
    </w:p>
    <w:p w14:paraId="544A28A1" w14:textId="77777777" w:rsidR="00E45A8A" w:rsidRDefault="00E45A8A" w:rsidP="00E45A8A">
      <w:pPr>
        <w:pStyle w:val="Lijstalinea"/>
        <w:numPr>
          <w:ilvl w:val="0"/>
          <w:numId w:val="5"/>
        </w:numPr>
        <w:rPr>
          <w:lang w:val="nl-BE"/>
        </w:rPr>
      </w:pPr>
      <w:r w:rsidRPr="00D27665">
        <w:rPr>
          <w:lang w:val="nl-BE"/>
        </w:rPr>
        <w:t xml:space="preserve">Ten slotte startte in 2018 een taskforce met de uitwerking van een strategisch plan voor een gefaseerde hervorming van de penitentiaire gezondheidszorg. In opdracht van de Interministeriële Conferentie Volksgezondheid van maart 2018 bekeken verschillende werkgroepen hoe de gezondheidszorg er binnen de muren optimaal uit zou moeten zien en het best wordt opgenomen binnen de Vlaamse en federale bevoegdheden. </w:t>
      </w:r>
    </w:p>
    <w:p w14:paraId="717D02CA" w14:textId="3AA37F21" w:rsidR="00F2575F" w:rsidRDefault="00F2575F" w:rsidP="00F2575F">
      <w:pPr>
        <w:pStyle w:val="Kop5"/>
        <w:rPr>
          <w:lang w:val="nl-BE"/>
        </w:rPr>
      </w:pPr>
      <w:r>
        <w:rPr>
          <w:lang w:val="nl-BE"/>
        </w:rPr>
        <w:lastRenderedPageBreak/>
        <w:t>Digitale</w:t>
      </w:r>
      <w:r w:rsidR="00E45A8A">
        <w:rPr>
          <w:lang w:val="nl-BE"/>
        </w:rPr>
        <w:t xml:space="preserve"> </w:t>
      </w:r>
      <w:r>
        <w:rPr>
          <w:lang w:val="nl-BE"/>
        </w:rPr>
        <w:t>kloof in gevangenis</w:t>
      </w:r>
    </w:p>
    <w:p w14:paraId="451A8D63" w14:textId="28C6E647" w:rsidR="00643CB6" w:rsidRDefault="00643CB6" w:rsidP="00643CB6">
      <w:pPr>
        <w:rPr>
          <w:lang w:val="nl-BE"/>
        </w:rPr>
      </w:pPr>
      <w:r>
        <w:rPr>
          <w:lang w:val="nl-BE"/>
        </w:rPr>
        <w:t xml:space="preserve">Daarnaast is het ook in de gevangenissen van groot belang dat het risico op achterstand op vlak van digitale geletterdheid voor gedetineerden wordt beperkt. </w:t>
      </w:r>
      <w:r w:rsidRPr="00A9410E">
        <w:rPr>
          <w:lang w:val="nl-BE"/>
        </w:rPr>
        <w:t xml:space="preserve">Evenwel is het om evidente veiligheidsredenen terecht dat DG EPI zeer voorzichtig omspringt met het binnenbrengen van deze digitale ontwikkelingen in de gevangenissen. Het vinden van een goede balans is hier cruciaal. </w:t>
      </w:r>
      <w:r w:rsidRPr="00F80ABA">
        <w:rPr>
          <w:lang w:val="nl-BE"/>
        </w:rPr>
        <w:t>Aandacht voor de toegankelijkheid van het hulp- en dienstverleningsaanbod en het verlagen van drempels (ook op vlak van geletterdheid en taal) is blijvend een belangrijk aandachtspunt voor de toekomst</w:t>
      </w:r>
      <w:r>
        <w:rPr>
          <w:lang w:val="nl-BE"/>
        </w:rPr>
        <w:t>.</w:t>
      </w:r>
    </w:p>
    <w:p w14:paraId="326587EF" w14:textId="77777777" w:rsidR="00097B3E" w:rsidRPr="00575D3F" w:rsidRDefault="00097B3E" w:rsidP="00097B3E">
      <w:pPr>
        <w:pStyle w:val="Kop5"/>
        <w:rPr>
          <w:lang w:val="nl-BE"/>
        </w:rPr>
      </w:pPr>
      <w:r w:rsidRPr="00575D3F">
        <w:rPr>
          <w:lang w:val="nl-BE"/>
        </w:rPr>
        <w:t xml:space="preserve">Gebruik van de nationale talen : </w:t>
      </w:r>
    </w:p>
    <w:p w14:paraId="7C1CA8B3" w14:textId="77777777" w:rsidR="00097B3E" w:rsidRPr="00575D3F" w:rsidRDefault="00097B3E" w:rsidP="00097B3E">
      <w:pPr>
        <w:rPr>
          <w:lang w:val="nl-BE"/>
        </w:rPr>
      </w:pPr>
      <w:r w:rsidRPr="00575D3F">
        <w:rPr>
          <w:lang w:val="nl-BE"/>
        </w:rPr>
        <w:t>Een van de individuele behoeften is het gebruik van de nationale talen. Het bestaan van drie taalgemeenschappen in België is een realiteit die de staat eeuwig niet volledig en doeltreffend lijkt te kunnen integreren.</w:t>
      </w:r>
    </w:p>
    <w:p w14:paraId="7280C2CD" w14:textId="77777777" w:rsidR="00097B3E" w:rsidRPr="00575D3F" w:rsidRDefault="00097B3E" w:rsidP="00097B3E">
      <w:pPr>
        <w:rPr>
          <w:lang w:val="nl-BE"/>
        </w:rPr>
      </w:pPr>
      <w:r w:rsidRPr="00575D3F">
        <w:rPr>
          <w:lang w:val="nl-BE"/>
        </w:rPr>
        <w:t xml:space="preserve">Het arrest van het Europees Hof van Justitie in de zaak </w:t>
      </w:r>
      <w:r>
        <w:rPr>
          <w:lang w:val="nl-BE"/>
        </w:rPr>
        <w:t xml:space="preserve">Meneer </w:t>
      </w:r>
      <w:proofErr w:type="spellStart"/>
      <w:r w:rsidRPr="00575D3F">
        <w:rPr>
          <w:lang w:val="nl-BE"/>
        </w:rPr>
        <w:t>Rooman</w:t>
      </w:r>
      <w:proofErr w:type="spellEnd"/>
      <w:r w:rsidRPr="00575D3F">
        <w:rPr>
          <w:lang w:val="nl-BE"/>
        </w:rPr>
        <w:t xml:space="preserve"> is in dit verband van belang</w:t>
      </w:r>
      <w:r>
        <w:rPr>
          <w:rStyle w:val="Voetnootmarkering"/>
          <w:lang w:val="fr-BE"/>
        </w:rPr>
        <w:footnoteReference w:id="2"/>
      </w:r>
      <w:r w:rsidRPr="00575D3F">
        <w:rPr>
          <w:lang w:val="nl-BE"/>
        </w:rPr>
        <w:t xml:space="preserve">. "Jurisprudentie van het Europees Hof voor de Rechten van de Mens over wetgeving inzake handicaps. </w:t>
      </w:r>
    </w:p>
    <w:p w14:paraId="50BE2257" w14:textId="77777777" w:rsidR="00097B3E" w:rsidRPr="00575D3F" w:rsidRDefault="00097B3E" w:rsidP="00097B3E">
      <w:pPr>
        <w:rPr>
          <w:lang w:val="nl-BE"/>
        </w:rPr>
      </w:pPr>
      <w:r w:rsidRPr="00575D3F">
        <w:rPr>
          <w:lang w:val="nl-BE"/>
        </w:rPr>
        <w:t>Mr</w:t>
      </w:r>
      <w:r>
        <w:rPr>
          <w:lang w:val="nl-BE"/>
        </w:rPr>
        <w:t>.</w:t>
      </w:r>
      <w:r w:rsidRPr="00575D3F">
        <w:rPr>
          <w:lang w:val="nl-BE"/>
        </w:rPr>
        <w:t xml:space="preserve"> </w:t>
      </w:r>
      <w:proofErr w:type="spellStart"/>
      <w:r w:rsidRPr="00575D3F">
        <w:rPr>
          <w:lang w:val="nl-BE"/>
        </w:rPr>
        <w:t>Rooman</w:t>
      </w:r>
      <w:proofErr w:type="spellEnd"/>
      <w:r w:rsidRPr="00575D3F">
        <w:rPr>
          <w:lang w:val="nl-BE"/>
        </w:rPr>
        <w:t xml:space="preserve"> is Duitstalig. De heer </w:t>
      </w:r>
      <w:proofErr w:type="spellStart"/>
      <w:r w:rsidRPr="00575D3F">
        <w:rPr>
          <w:lang w:val="nl-BE"/>
        </w:rPr>
        <w:t>Rooman</w:t>
      </w:r>
      <w:proofErr w:type="spellEnd"/>
      <w:r w:rsidRPr="00575D3F">
        <w:rPr>
          <w:lang w:val="nl-BE"/>
        </w:rPr>
        <w:t xml:space="preserve"> wordt al 13 jaar vastgehouden in een Franstalige psychiatrische gevangenis, zonder de mogelijkheid van behandeling in het Duits. Hij heeft beroep ingesteld wegens niet-naleving van de artikelen 3 en 5 van het Europees Verdrag tot bescherming van de rechten van de mens.</w:t>
      </w:r>
    </w:p>
    <w:p w14:paraId="293844CA" w14:textId="77777777" w:rsidR="00097B3E" w:rsidRPr="00575D3F" w:rsidRDefault="00097B3E" w:rsidP="00097B3E">
      <w:pPr>
        <w:rPr>
          <w:lang w:val="nl-BE"/>
        </w:rPr>
      </w:pPr>
      <w:r w:rsidRPr="00575D3F">
        <w:rPr>
          <w:lang w:val="nl-BE"/>
        </w:rPr>
        <w:t>Het Europees Verdrag garandeert niet dat gevangenen in hun eigen taal worden behandeld. Maar het algemene principe is dat een geïndividualiseerde en passende behandeling essentieel is. De Raad voor Sociale Bescherming heeft zijn recht om te worden gehoord en begrepen in het Duits, de nationale taal in België, bevestigd.</w:t>
      </w:r>
    </w:p>
    <w:p w14:paraId="6EB3C369" w14:textId="77777777" w:rsidR="00097B3E" w:rsidRPr="00575D3F" w:rsidRDefault="00097B3E" w:rsidP="00097B3E">
      <w:pPr>
        <w:rPr>
          <w:lang w:val="nl-BE"/>
        </w:rPr>
      </w:pPr>
      <w:r w:rsidRPr="00575D3F">
        <w:rPr>
          <w:lang w:val="nl-BE"/>
        </w:rPr>
        <w:t xml:space="preserve">Voor de periode 2004-2017 wordt in het arrest een schending van de artikelen 3 en 5 vastgesteld. Na 2017 stelde het Hof vast dat de autoriteiten aanzienlijke inspanningen hadden geleverd om ervoor te zorgen dat klager consistent en passend werd behandeld. Er is geen sprake meer van een schending van de artikelen 3 en 5. </w:t>
      </w:r>
      <w:r w:rsidRPr="0077073A">
        <w:rPr>
          <w:rStyle w:val="Voetnootmarkering"/>
          <w:rFonts w:cstheme="minorHAnsi"/>
          <w:sz w:val="20"/>
          <w:szCs w:val="20"/>
          <w:lang w:val="fr-BE"/>
        </w:rPr>
        <w:footnoteReference w:id="3"/>
      </w:r>
    </w:p>
    <w:p w14:paraId="015C7EAC" w14:textId="77777777" w:rsidR="00097B3E" w:rsidRPr="00575D3F" w:rsidRDefault="00097B3E" w:rsidP="00097B3E">
      <w:pPr>
        <w:rPr>
          <w:lang w:val="nl-BE"/>
        </w:rPr>
      </w:pPr>
      <w:r w:rsidRPr="00575D3F">
        <w:rPr>
          <w:lang w:val="nl-BE"/>
        </w:rPr>
        <w:t>Dit is een nuttige jurisprudentie ter zake en dus een voorbeeld van een goede praktijk. De BDF verwacht dan ook dat België in de toekomst alles in het werk zal stellen om de rechten van personen inzake taalgebruik in geval van noodzaak tot behandeling in detentie te respecteren.</w:t>
      </w:r>
    </w:p>
    <w:p w14:paraId="6B00EECD" w14:textId="08A027EA" w:rsidR="008B05E9" w:rsidRDefault="008B05E9" w:rsidP="008B05E9">
      <w:pPr>
        <w:pStyle w:val="Kop5"/>
        <w:rPr>
          <w:lang w:val="nl-BE"/>
        </w:rPr>
      </w:pPr>
      <w:r>
        <w:rPr>
          <w:lang w:val="nl-BE"/>
        </w:rPr>
        <w:t>In Vlaanderen</w:t>
      </w:r>
    </w:p>
    <w:p w14:paraId="4F7A0676" w14:textId="7DD60D0D" w:rsidR="00A9410E" w:rsidRDefault="00A9410E" w:rsidP="00901C32">
      <w:pPr>
        <w:rPr>
          <w:lang w:val="nl-BE"/>
        </w:rPr>
      </w:pPr>
      <w:r>
        <w:rPr>
          <w:lang w:val="nl-BE"/>
        </w:rPr>
        <w:t>H</w:t>
      </w:r>
      <w:r w:rsidRPr="00A9410E">
        <w:rPr>
          <w:lang w:val="nl-BE"/>
        </w:rPr>
        <w:t xml:space="preserve">et vigerend Besluit van de Vlaamse Regering schrijft </w:t>
      </w:r>
      <w:r w:rsidR="00D504A9">
        <w:rPr>
          <w:lang w:val="nl-BE"/>
        </w:rPr>
        <w:t xml:space="preserve">voor </w:t>
      </w:r>
      <w:r w:rsidRPr="00A9410E">
        <w:rPr>
          <w:lang w:val="nl-BE"/>
        </w:rPr>
        <w:t>aan welke personen met een handicap specifieke hulp- en dienstverlening word</w:t>
      </w:r>
      <w:r>
        <w:rPr>
          <w:lang w:val="nl-BE"/>
        </w:rPr>
        <w:t>t</w:t>
      </w:r>
      <w:r w:rsidRPr="00A9410E">
        <w:rPr>
          <w:lang w:val="nl-BE"/>
        </w:rPr>
        <w:t xml:space="preserve"> geboden</w:t>
      </w:r>
      <w:r w:rsidR="00ED2EF2">
        <w:rPr>
          <w:lang w:val="nl-BE"/>
        </w:rPr>
        <w:t>. Dit</w:t>
      </w:r>
      <w:r>
        <w:rPr>
          <w:lang w:val="nl-BE"/>
        </w:rPr>
        <w:t xml:space="preserve"> werd</w:t>
      </w:r>
      <w:r w:rsidRPr="00A9410E">
        <w:rPr>
          <w:lang w:val="nl-BE"/>
        </w:rPr>
        <w:t xml:space="preserve"> uitgebreid tot personen met een handicap die als gedetineerde (dus inclusief geïnterneerden in de gevangenis) in de gevangenis verblijven. In de praktijk ontbr</w:t>
      </w:r>
      <w:r>
        <w:rPr>
          <w:lang w:val="nl-BE"/>
        </w:rPr>
        <w:t xml:space="preserve">eekt </w:t>
      </w:r>
      <w:r w:rsidRPr="00A9410E">
        <w:rPr>
          <w:lang w:val="nl-BE"/>
        </w:rPr>
        <w:t xml:space="preserve">het evenwel aan mensen en middelen om hier volop op in te zetten. </w:t>
      </w:r>
    </w:p>
    <w:p w14:paraId="6DF23418" w14:textId="77777777" w:rsidR="00643CB6" w:rsidRDefault="00F80ABA" w:rsidP="00901C32">
      <w:pPr>
        <w:rPr>
          <w:lang w:val="nl-BE"/>
        </w:rPr>
      </w:pPr>
      <w:r>
        <w:rPr>
          <w:lang w:val="nl-BE"/>
        </w:rPr>
        <w:lastRenderedPageBreak/>
        <w:t>Recent</w:t>
      </w:r>
      <w:r w:rsidRPr="00F80ABA">
        <w:rPr>
          <w:lang w:val="nl-BE"/>
        </w:rPr>
        <w:t xml:space="preserve"> onderzoek in de Vlaamse gevangenissen</w:t>
      </w:r>
      <w:r w:rsidR="00643CB6">
        <w:rPr>
          <w:lang w:val="nl-BE"/>
        </w:rPr>
        <w:t xml:space="preserve"> </w:t>
      </w:r>
      <w:r w:rsidR="00643CB6">
        <w:rPr>
          <w:rStyle w:val="Voetnootmarkering"/>
          <w:lang w:val="nl-BE"/>
        </w:rPr>
        <w:footnoteReference w:id="4"/>
      </w:r>
      <w:r w:rsidRPr="00F80ABA">
        <w:rPr>
          <w:lang w:val="nl-BE"/>
        </w:rPr>
        <w:t xml:space="preserve"> </w:t>
      </w:r>
      <w:r>
        <w:rPr>
          <w:lang w:val="nl-BE"/>
        </w:rPr>
        <w:t>toont</w:t>
      </w:r>
      <w:r w:rsidR="00643CB6">
        <w:rPr>
          <w:lang w:val="nl-BE"/>
        </w:rPr>
        <w:t xml:space="preserve"> </w:t>
      </w:r>
      <w:r w:rsidRPr="00F80ABA">
        <w:rPr>
          <w:lang w:val="nl-BE"/>
        </w:rPr>
        <w:t>aan dat bijna de helft van de gedetineerden ooit in de levensloop de formele diagnose van een psychiatrische stoornis kreeg (bv. middelen-gerelateerde, depressieve of ontwikkelingsstoornis).</w:t>
      </w:r>
      <w:r>
        <w:rPr>
          <w:lang w:val="nl-BE"/>
        </w:rPr>
        <w:t xml:space="preserve"> </w:t>
      </w:r>
      <w:r w:rsidRPr="00F80ABA">
        <w:rPr>
          <w:lang w:val="nl-BE"/>
        </w:rPr>
        <w:t xml:space="preserve">Ongeveer 40% rapporteerde </w:t>
      </w:r>
      <w:r>
        <w:rPr>
          <w:rStyle w:val="Voetnootmarkering"/>
          <w:lang w:val="nl-BE"/>
        </w:rPr>
        <w:footnoteReference w:id="5"/>
      </w:r>
      <w:r w:rsidRPr="00F80ABA">
        <w:rPr>
          <w:lang w:val="nl-BE"/>
        </w:rPr>
        <w:t>ook een psychiatrische behandeling voor detentie en één op tien gaf aan frequent gebruik te maken van het aanbod rond geestelijke gezondheidszorg in de gevangenis.</w:t>
      </w:r>
      <w:r>
        <w:rPr>
          <w:lang w:val="nl-BE"/>
        </w:rPr>
        <w:t xml:space="preserve"> </w:t>
      </w:r>
    </w:p>
    <w:p w14:paraId="7443F110" w14:textId="2542287A" w:rsidR="00F80ABA" w:rsidRPr="00F80ABA" w:rsidRDefault="00F80ABA" w:rsidP="00901C32">
      <w:pPr>
        <w:rPr>
          <w:lang w:val="nl-BE"/>
        </w:rPr>
      </w:pPr>
      <w:r w:rsidRPr="00F80ABA">
        <w:rPr>
          <w:lang w:val="nl-BE"/>
        </w:rPr>
        <w:t>Een meer onderbelichte groep daarentegen zijn de gedetineerden met een licht verstandelijke handicap. Onderzoek toont echter wel een hoge prevalentie van deze groep aan (tot 30-40% van de hele populatie).</w:t>
      </w:r>
      <w:r w:rsidR="00231B18">
        <w:rPr>
          <w:rStyle w:val="Voetnootmarkering"/>
          <w:lang w:val="nl-BE"/>
        </w:rPr>
        <w:footnoteReference w:id="6"/>
      </w:r>
      <w:r w:rsidR="00231B18">
        <w:rPr>
          <w:lang w:val="nl-BE"/>
        </w:rPr>
        <w:t xml:space="preserve"> Ook hier ontbreekt het aan mensen en middelen. Het </w:t>
      </w:r>
      <w:r w:rsidR="00643CB6">
        <w:rPr>
          <w:lang w:val="nl-BE"/>
        </w:rPr>
        <w:t>BDF</w:t>
      </w:r>
      <w:r w:rsidR="00231B18">
        <w:rPr>
          <w:lang w:val="nl-BE"/>
        </w:rPr>
        <w:t xml:space="preserve"> vraagt dringend werk te maken van meer onderzoek naar deze bevolkingsgroep zodat er meer </w:t>
      </w:r>
      <w:r w:rsidR="00231B18" w:rsidRPr="00231B18">
        <w:rPr>
          <w:lang w:val="nl-BE"/>
        </w:rPr>
        <w:t>individuele hulp- en dienstverleningsplannen voor gedetineerden</w:t>
      </w:r>
      <w:r w:rsidR="00231B18">
        <w:rPr>
          <w:lang w:val="nl-BE"/>
        </w:rPr>
        <w:t xml:space="preserve"> komen. </w:t>
      </w:r>
    </w:p>
    <w:p w14:paraId="175E6B3F" w14:textId="1EF0C5C5" w:rsidR="00901C32" w:rsidRPr="00DC3C6B" w:rsidRDefault="006F1189" w:rsidP="00DC3C6B">
      <w:pPr>
        <w:pStyle w:val="Kop4"/>
        <w:rPr>
          <w:lang w:val="nl-BE"/>
        </w:rPr>
      </w:pPr>
      <w:r w:rsidRPr="00DC3C6B">
        <w:rPr>
          <w:lang w:val="nl-BE"/>
        </w:rPr>
        <w:t xml:space="preserve">Vraag 12: Geef informatie over maatregelen die op federaal, regionaal en gemeenschapsniveau zijn genomen om </w:t>
      </w:r>
      <w:r w:rsidRPr="00DC3C6B">
        <w:rPr>
          <w:lang w:val="nl-BE"/>
        </w:rPr>
        <w:br/>
      </w:r>
      <w:r w:rsidR="00901C32" w:rsidRPr="00DC3C6B">
        <w:rPr>
          <w:lang w:val="nl-BE"/>
        </w:rPr>
        <w:t>c) procedurele aanpassingen te bieden aan personen met een handicap in gerechtelijke procedures. Gelieve informatie te verstrekken over het aantal beschikbare doventolken, de fysieke toegankelijkheid van de gerechtsgebouwen en de beschikbaarheid van officiële informatie in toegankelijke formaten, waaronder braille en Easy Read.</w:t>
      </w:r>
    </w:p>
    <w:p w14:paraId="34D6642D" w14:textId="12604B38" w:rsidR="00901C32" w:rsidRDefault="00C4164D" w:rsidP="00901C32">
      <w:pPr>
        <w:rPr>
          <w:lang w:val="nl-BE"/>
        </w:rPr>
      </w:pPr>
      <w:r>
        <w:rPr>
          <w:lang w:val="nl-NL"/>
        </w:rPr>
        <w:t xml:space="preserve">Personen met een handicap moeten op gelijke wijze toegang hebben tot het rechtssysteem als personen zonder een handicap. Aangezien het om redelijke aanpassingen gaat, zou er geen </w:t>
      </w:r>
      <w:proofErr w:type="spellStart"/>
      <w:r>
        <w:rPr>
          <w:lang w:val="nl-NL"/>
        </w:rPr>
        <w:t>meerkost</w:t>
      </w:r>
      <w:proofErr w:type="spellEnd"/>
      <w:r>
        <w:rPr>
          <w:lang w:val="nl-NL"/>
        </w:rPr>
        <w:t xml:space="preserve"> mogen verbonden zijn aan het gebruik maken van </w:t>
      </w:r>
      <w:r w:rsidR="0094763E">
        <w:rPr>
          <w:lang w:val="nl-NL"/>
        </w:rPr>
        <w:t>rechtssysteem</w:t>
      </w:r>
      <w:r>
        <w:rPr>
          <w:lang w:val="nl-NL"/>
        </w:rPr>
        <w:t xml:space="preserve">. </w:t>
      </w:r>
      <w:r w:rsidRPr="00C4164D">
        <w:rPr>
          <w:lang w:val="nl-BE"/>
        </w:rPr>
        <w:t xml:space="preserve">Het </w:t>
      </w:r>
      <w:r w:rsidR="005C1C75">
        <w:rPr>
          <w:lang w:val="nl-BE"/>
        </w:rPr>
        <w:t>BDF</w:t>
      </w:r>
      <w:r w:rsidRPr="00C4164D">
        <w:rPr>
          <w:lang w:val="nl-BE"/>
        </w:rPr>
        <w:t xml:space="preserve"> vraagt dat tolken, </w:t>
      </w:r>
      <w:r>
        <w:rPr>
          <w:lang w:val="nl-BE"/>
        </w:rPr>
        <w:t xml:space="preserve">liften, toegankelijke gebouwen, </w:t>
      </w:r>
      <w:r w:rsidRPr="00C4164D">
        <w:rPr>
          <w:lang w:val="nl-BE"/>
        </w:rPr>
        <w:t>braille, Easy Read-formulieren standaar</w:t>
      </w:r>
      <w:r>
        <w:rPr>
          <w:lang w:val="nl-BE"/>
        </w:rPr>
        <w:t xml:space="preserve">d worden voorzien zonder </w:t>
      </w:r>
      <w:proofErr w:type="spellStart"/>
      <w:r>
        <w:rPr>
          <w:lang w:val="nl-BE"/>
        </w:rPr>
        <w:t>meerkost</w:t>
      </w:r>
      <w:proofErr w:type="spellEnd"/>
      <w:r>
        <w:rPr>
          <w:lang w:val="nl-BE"/>
        </w:rPr>
        <w:t xml:space="preserve"> voor de </w:t>
      </w:r>
      <w:r w:rsidR="005C1C75">
        <w:rPr>
          <w:lang w:val="nl-BE"/>
        </w:rPr>
        <w:t xml:space="preserve"> </w:t>
      </w:r>
      <w:proofErr w:type="spellStart"/>
      <w:r w:rsidR="005C1C75">
        <w:rPr>
          <w:lang w:val="nl-BE"/>
        </w:rPr>
        <w:t>de</w:t>
      </w:r>
      <w:proofErr w:type="spellEnd"/>
      <w:r w:rsidR="005C1C75">
        <w:rPr>
          <w:lang w:val="nl-BE"/>
        </w:rPr>
        <w:t xml:space="preserve"> persoon</w:t>
      </w:r>
      <w:r>
        <w:rPr>
          <w:lang w:val="nl-BE"/>
        </w:rPr>
        <w:t xml:space="preserve">. </w:t>
      </w:r>
    </w:p>
    <w:p w14:paraId="0B8EF517" w14:textId="2BDF5731" w:rsidR="00DB1831" w:rsidRDefault="00DB1831" w:rsidP="00DB1831">
      <w:pPr>
        <w:pStyle w:val="Kop5"/>
        <w:rPr>
          <w:lang w:val="nl-BE"/>
        </w:rPr>
      </w:pPr>
      <w:r>
        <w:rPr>
          <w:lang w:val="nl-BE"/>
        </w:rPr>
        <w:t xml:space="preserve">Hervorming </w:t>
      </w:r>
      <w:r w:rsidRPr="005149C1">
        <w:rPr>
          <w:lang w:val="nl-BE"/>
        </w:rPr>
        <w:t>van de kosteloze rechtsbijstand</w:t>
      </w:r>
    </w:p>
    <w:p w14:paraId="180491CD" w14:textId="007B0C2E" w:rsidR="00C4164D" w:rsidRPr="00DC3C6B" w:rsidRDefault="00C4164D" w:rsidP="00C4164D">
      <w:pPr>
        <w:rPr>
          <w:rFonts w:cstheme="minorHAnsi"/>
          <w:lang w:val="nl-BE"/>
        </w:rPr>
      </w:pPr>
      <w:r w:rsidRPr="00DC3C6B">
        <w:rPr>
          <w:rFonts w:cstheme="minorHAnsi"/>
          <w:lang w:val="nl-BE"/>
        </w:rPr>
        <w:t xml:space="preserve">Vóór de hervorming van de kosteloze rechtsbijstand hadden personen met een handicap die een </w:t>
      </w:r>
      <w:proofErr w:type="spellStart"/>
      <w:r w:rsidRPr="00DC3C6B">
        <w:rPr>
          <w:rFonts w:cstheme="minorHAnsi"/>
          <w:lang w:val="nl-BE"/>
        </w:rPr>
        <w:t>inkomensvervangende</w:t>
      </w:r>
      <w:proofErr w:type="spellEnd"/>
      <w:r w:rsidRPr="00DC3C6B">
        <w:rPr>
          <w:rFonts w:cstheme="minorHAnsi"/>
          <w:lang w:val="nl-BE"/>
        </w:rPr>
        <w:t xml:space="preserve"> uitkering ontvingen, automatisch recht op kosteloze rechtsbijstand. </w:t>
      </w:r>
    </w:p>
    <w:p w14:paraId="5972A64C" w14:textId="62BDFB45" w:rsidR="00C4164D" w:rsidRPr="00DC3C6B" w:rsidRDefault="00C4164D" w:rsidP="00C4164D">
      <w:pPr>
        <w:rPr>
          <w:rFonts w:cstheme="minorHAnsi"/>
          <w:lang w:val="nl-BE"/>
        </w:rPr>
      </w:pPr>
      <w:r w:rsidRPr="00DC3C6B">
        <w:rPr>
          <w:rFonts w:cstheme="minorHAnsi"/>
          <w:lang w:val="nl-BE"/>
        </w:rPr>
        <w:t xml:space="preserve">Sinds de hervorming zegt de wet het volgende: "de begunstigde van een </w:t>
      </w:r>
      <w:proofErr w:type="spellStart"/>
      <w:r w:rsidRPr="00DC3C6B">
        <w:rPr>
          <w:rFonts w:cstheme="minorHAnsi"/>
          <w:lang w:val="nl-BE"/>
        </w:rPr>
        <w:t>inkomensvervangende</w:t>
      </w:r>
      <w:proofErr w:type="spellEnd"/>
      <w:r w:rsidRPr="00DC3C6B">
        <w:rPr>
          <w:rFonts w:cstheme="minorHAnsi"/>
          <w:lang w:val="nl-BE"/>
        </w:rPr>
        <w:t xml:space="preserve"> uitkering voor personen met een handicap die wordt geacht niet over voldoende middelen van bestaan te beschikken totdat het tegendeel is bewezen, kan geheel of gedeeltelijk kosteloos rechtsbijstand krijgen". Momenteel is het dus de persoon met een handicap die moet bewijzen dat hij of zij niet over voldoende middelen van bestaan beschikt.</w:t>
      </w:r>
    </w:p>
    <w:p w14:paraId="5307E3A3" w14:textId="08775874" w:rsidR="00C4164D" w:rsidRPr="00DC3C6B" w:rsidRDefault="00C4164D" w:rsidP="00C4164D">
      <w:pPr>
        <w:rPr>
          <w:rFonts w:cstheme="minorHAnsi"/>
          <w:lang w:val="nl-BE"/>
        </w:rPr>
      </w:pPr>
      <w:r w:rsidRPr="00DC3C6B">
        <w:rPr>
          <w:rFonts w:cstheme="minorHAnsi"/>
          <w:lang w:val="nl-BE"/>
        </w:rPr>
        <w:t>De integratietoelage wordt meegerekend bij de berekening van het inkomen (terwijl het gaat om een toelage ter compensatie van het gebrek aan zelfstandigheid en de kosten in verband met de handicap en niet om een inkomen als zodanig.</w:t>
      </w:r>
    </w:p>
    <w:p w14:paraId="70B4C060" w14:textId="5F9995E7" w:rsidR="00C4164D" w:rsidRPr="00DC3C6B" w:rsidRDefault="00C4164D" w:rsidP="00C4164D">
      <w:pPr>
        <w:rPr>
          <w:rFonts w:cstheme="minorHAnsi"/>
          <w:lang w:val="nl-BE"/>
        </w:rPr>
      </w:pPr>
      <w:r w:rsidRPr="00DC3C6B">
        <w:rPr>
          <w:rFonts w:cstheme="minorHAnsi"/>
          <w:lang w:val="nl-BE"/>
        </w:rPr>
        <w:t xml:space="preserve">Voorheen werd de toestand van behoeftigheid automatisch vermoed door het enkele feit dat </w:t>
      </w:r>
      <w:r w:rsidR="003D6CD7" w:rsidRPr="00DC3C6B">
        <w:rPr>
          <w:rFonts w:cstheme="minorHAnsi"/>
          <w:lang w:val="nl-BE"/>
        </w:rPr>
        <w:t xml:space="preserve">iemand </w:t>
      </w:r>
      <w:r w:rsidRPr="00DC3C6B">
        <w:rPr>
          <w:rFonts w:cstheme="minorHAnsi"/>
          <w:lang w:val="nl-BE"/>
        </w:rPr>
        <w:t xml:space="preserve">de </w:t>
      </w:r>
      <w:proofErr w:type="spellStart"/>
      <w:r w:rsidRPr="00DC3C6B">
        <w:rPr>
          <w:rFonts w:cstheme="minorHAnsi"/>
          <w:lang w:val="nl-BE"/>
        </w:rPr>
        <w:t>inkomensvervangende</w:t>
      </w:r>
      <w:proofErr w:type="spellEnd"/>
      <w:r w:rsidRPr="00DC3C6B">
        <w:rPr>
          <w:rFonts w:cstheme="minorHAnsi"/>
          <w:lang w:val="nl-BE"/>
        </w:rPr>
        <w:t xml:space="preserve"> tegemoetkoming ontving. Vandaag de dag moet een persoon met een handicap al in extreme behoeftigheid verkeren om een beroep te kunnen doen op een Pro Deo-</w:t>
      </w:r>
      <w:r w:rsidRPr="00DC3C6B">
        <w:rPr>
          <w:rFonts w:cstheme="minorHAnsi"/>
          <w:lang w:val="nl-BE"/>
        </w:rPr>
        <w:lastRenderedPageBreak/>
        <w:t>advocaat... De opeenstapeling van deze uitkeringen vormt een reële belemmering voor de toegang tot de rechter.</w:t>
      </w:r>
      <w:r w:rsidR="003D6CD7" w:rsidRPr="00DC3C6B">
        <w:rPr>
          <w:rFonts w:cstheme="minorHAnsi"/>
          <w:lang w:val="nl-BE"/>
        </w:rPr>
        <w:t xml:space="preserve"> Het </w:t>
      </w:r>
      <w:r w:rsidR="00DB1831" w:rsidRPr="00DC3C6B">
        <w:rPr>
          <w:rFonts w:cstheme="minorHAnsi"/>
          <w:lang w:val="nl-BE"/>
        </w:rPr>
        <w:t>BDF</w:t>
      </w:r>
      <w:r w:rsidR="003D6CD7" w:rsidRPr="00DC3C6B">
        <w:rPr>
          <w:rFonts w:cstheme="minorHAnsi"/>
          <w:lang w:val="nl-BE"/>
        </w:rPr>
        <w:t xml:space="preserve"> vraagt dat de begunstigden van een </w:t>
      </w:r>
      <w:proofErr w:type="spellStart"/>
      <w:r w:rsidR="003D6CD7" w:rsidRPr="00DC3C6B">
        <w:rPr>
          <w:rFonts w:cstheme="minorHAnsi"/>
          <w:lang w:val="nl-BE"/>
        </w:rPr>
        <w:t>inkomensvervangende</w:t>
      </w:r>
      <w:proofErr w:type="spellEnd"/>
      <w:r w:rsidR="003D6CD7" w:rsidRPr="00DC3C6B">
        <w:rPr>
          <w:rFonts w:cstheme="minorHAnsi"/>
          <w:lang w:val="nl-BE"/>
        </w:rPr>
        <w:t xml:space="preserve"> uitkering voor personen met een handicap </w:t>
      </w:r>
      <w:proofErr w:type="spellStart"/>
      <w:r w:rsidR="003D6CD7" w:rsidRPr="00DC3C6B">
        <w:rPr>
          <w:rFonts w:cstheme="minorHAnsi"/>
          <w:lang w:val="nl-BE"/>
        </w:rPr>
        <w:t>d’office</w:t>
      </w:r>
      <w:proofErr w:type="spellEnd"/>
      <w:r w:rsidR="003D6CD7" w:rsidRPr="00DC3C6B">
        <w:rPr>
          <w:rFonts w:cstheme="minorHAnsi"/>
          <w:lang w:val="nl-BE"/>
        </w:rPr>
        <w:t xml:space="preserve"> beroep kunnen doen op een Pro Deo-advocaat zodat ook hun rechten worden gegarandeerd. </w:t>
      </w:r>
    </w:p>
    <w:sectPr w:rsidR="00C4164D" w:rsidRPr="00DC3C6B"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BB7C" w14:textId="77777777" w:rsidR="00CF2183" w:rsidRDefault="00CF2183" w:rsidP="0095255E">
      <w:pPr>
        <w:spacing w:after="0" w:line="240" w:lineRule="auto"/>
      </w:pPr>
      <w:r>
        <w:separator/>
      </w:r>
    </w:p>
  </w:endnote>
  <w:endnote w:type="continuationSeparator" w:id="0">
    <w:p w14:paraId="2FCDDF57" w14:textId="77777777" w:rsidR="00CF2183" w:rsidRDefault="00CF2183"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153" w14:textId="77777777" w:rsidR="00CF2183" w:rsidRDefault="00CF2183" w:rsidP="0095255E">
      <w:pPr>
        <w:spacing w:after="0" w:line="240" w:lineRule="auto"/>
      </w:pPr>
      <w:r>
        <w:separator/>
      </w:r>
    </w:p>
  </w:footnote>
  <w:footnote w:type="continuationSeparator" w:id="0">
    <w:p w14:paraId="740DE651" w14:textId="77777777" w:rsidR="00CF2183" w:rsidRDefault="00CF2183" w:rsidP="0095255E">
      <w:pPr>
        <w:spacing w:after="0" w:line="240" w:lineRule="auto"/>
      </w:pPr>
      <w:r>
        <w:continuationSeparator/>
      </w:r>
    </w:p>
  </w:footnote>
  <w:footnote w:id="1">
    <w:p w14:paraId="2A31CD36" w14:textId="77777777" w:rsidR="003D15BA" w:rsidRDefault="003D15BA" w:rsidP="003D15BA">
      <w:pPr>
        <w:pStyle w:val="Voetnoottekst"/>
        <w:rPr>
          <w:lang w:val="fr-BE"/>
        </w:rPr>
      </w:pPr>
      <w:r>
        <w:rPr>
          <w:rStyle w:val="Voetnootmarkering"/>
        </w:rPr>
        <w:footnoteRef/>
      </w:r>
      <w:r w:rsidRPr="00991224">
        <w:rPr>
          <w:lang w:val="fr-BE"/>
        </w:rPr>
        <w:t xml:space="preserve"> CLEMENT (Ch.) en HOUGARDY (A.), </w:t>
      </w:r>
      <w:r w:rsidRPr="00991224">
        <w:rPr>
          <w:i/>
          <w:iCs/>
          <w:lang w:val="fr-BE"/>
        </w:rPr>
        <w:t>La justice manque cruellement de moyen et de personnel</w:t>
      </w:r>
      <w:r w:rsidRPr="00991224">
        <w:rPr>
          <w:lang w:val="fr-BE"/>
        </w:rPr>
        <w:t xml:space="preserve">, </w:t>
      </w:r>
      <w:r>
        <w:rPr>
          <w:lang w:val="fr-BE"/>
        </w:rPr>
        <w:t xml:space="preserve">in </w:t>
      </w:r>
      <w:r w:rsidRPr="0065275E">
        <w:rPr>
          <w:i/>
          <w:iCs/>
          <w:lang w:val="fr-BE"/>
        </w:rPr>
        <w:t>RTL Info</w:t>
      </w:r>
      <w:r w:rsidRPr="00991224">
        <w:rPr>
          <w:lang w:val="fr-BE"/>
        </w:rPr>
        <w:t>, 22/01/2019</w:t>
      </w:r>
      <w:r>
        <w:rPr>
          <w:lang w:val="fr-BE"/>
        </w:rPr>
        <w:t xml:space="preserve">, </w:t>
      </w:r>
      <w:r w:rsidR="00D504A9">
        <w:fldChar w:fldCharType="begin"/>
      </w:r>
      <w:r w:rsidR="00D504A9" w:rsidRPr="00D504A9">
        <w:rPr>
          <w:lang w:val="fr-BE"/>
        </w:rPr>
        <w:instrText>HYPERLINK "https://www.rtl.be/info/belgique/societe/la-justice-manque-cruellement-de-moyens-et-de-personnel-voici-les-consequences-concretes-a-namur-989103.aspx%22%20/h"</w:instrText>
      </w:r>
      <w:r w:rsidR="00D504A9">
        <w:fldChar w:fldCharType="separate"/>
      </w:r>
      <w:r w:rsidRPr="00DD5A26">
        <w:rPr>
          <w:rStyle w:val="Hyperlink"/>
          <w:lang w:val="fr-BE"/>
        </w:rPr>
        <w:t>https://www.rtl.be/info/belgique/societe/la-justice-manque-cruellement-de-moyens-et-de-personnel-voici-les-consequences-concretes-a-namur-989103.aspx".</w:t>
      </w:r>
      <w:r w:rsidR="00D504A9">
        <w:rPr>
          <w:rStyle w:val="Hyperlink"/>
          <w:lang w:val="fr-BE"/>
        </w:rPr>
        <w:fldChar w:fldCharType="end"/>
      </w:r>
    </w:p>
  </w:footnote>
  <w:footnote w:id="2">
    <w:p w14:paraId="547432C6" w14:textId="77777777" w:rsidR="00097B3E" w:rsidRPr="00575D3F" w:rsidRDefault="00097B3E" w:rsidP="00097B3E">
      <w:pPr>
        <w:pStyle w:val="Voetnoottekst"/>
        <w:rPr>
          <w:lang w:val="nl-BE"/>
        </w:rPr>
      </w:pPr>
      <w:r>
        <w:rPr>
          <w:rStyle w:val="Voetnootmarkering"/>
        </w:rPr>
        <w:footnoteRef/>
      </w:r>
      <w:r w:rsidRPr="00575D3F">
        <w:rPr>
          <w:lang w:val="nl-BE"/>
        </w:rPr>
        <w:t xml:space="preserve"> Europees Hof voor de Rechten van de Mens Gehandicaptenrecht, </w:t>
      </w:r>
      <w:proofErr w:type="spellStart"/>
      <w:r w:rsidRPr="00575D3F">
        <w:rPr>
          <w:lang w:val="nl-BE"/>
        </w:rPr>
        <w:t>Rooman</w:t>
      </w:r>
      <w:proofErr w:type="spellEnd"/>
      <w:r w:rsidRPr="00575D3F">
        <w:rPr>
          <w:lang w:val="nl-BE"/>
        </w:rPr>
        <w:t xml:space="preserve"> versus België, Grote Kamer nr. 18052/11, 31 januari 2019.</w:t>
      </w:r>
    </w:p>
  </w:footnote>
  <w:footnote w:id="3">
    <w:p w14:paraId="08CCA8CE" w14:textId="77777777" w:rsidR="00097B3E" w:rsidRPr="00575D3F" w:rsidRDefault="00097B3E" w:rsidP="00097B3E">
      <w:pPr>
        <w:pStyle w:val="Voetnoottekst"/>
        <w:rPr>
          <w:lang w:val="nl-BE"/>
        </w:rPr>
      </w:pPr>
      <w:r w:rsidRPr="003A4884">
        <w:rPr>
          <w:rStyle w:val="Voetnootmarkering"/>
        </w:rPr>
        <w:footnoteRef/>
      </w:r>
      <w:r w:rsidRPr="00575D3F">
        <w:rPr>
          <w:lang w:val="nl-BE"/>
        </w:rPr>
        <w:t xml:space="preserve"> WITTMANN-PURI (S.), </w:t>
      </w:r>
      <w:r w:rsidRPr="00575D3F">
        <w:rPr>
          <w:i/>
          <w:iCs/>
          <w:lang w:val="nl-BE"/>
        </w:rPr>
        <w:t xml:space="preserve">Recente jurisprudentie van het Europees Hof voor de rechten van de mens over het gehandicaptenrecht, </w:t>
      </w:r>
      <w:proofErr w:type="spellStart"/>
      <w:r w:rsidRPr="00575D3F">
        <w:rPr>
          <w:i/>
          <w:iCs/>
          <w:lang w:val="nl-BE"/>
        </w:rPr>
        <w:t>PowerPoint-presentatie</w:t>
      </w:r>
      <w:proofErr w:type="spellEnd"/>
      <w:r w:rsidRPr="00575D3F">
        <w:rPr>
          <w:lang w:val="nl-BE"/>
        </w:rPr>
        <w:t xml:space="preserve">, in </w:t>
      </w:r>
      <w:r w:rsidRPr="00575D3F">
        <w:rPr>
          <w:i/>
          <w:iCs/>
          <w:lang w:val="nl-BE"/>
        </w:rPr>
        <w:t xml:space="preserve">ERA, Jaarlijkse conferentie over de rechten van personen met een handicap 2020, Access </w:t>
      </w:r>
      <w:proofErr w:type="spellStart"/>
      <w:r w:rsidRPr="00575D3F">
        <w:rPr>
          <w:i/>
          <w:iCs/>
          <w:lang w:val="nl-BE"/>
        </w:rPr>
        <w:t>to</w:t>
      </w:r>
      <w:proofErr w:type="spellEnd"/>
      <w:r w:rsidRPr="00575D3F">
        <w:rPr>
          <w:i/>
          <w:iCs/>
          <w:lang w:val="nl-BE"/>
        </w:rPr>
        <w:t xml:space="preserve"> </w:t>
      </w:r>
      <w:proofErr w:type="spellStart"/>
      <w:r w:rsidRPr="00575D3F">
        <w:rPr>
          <w:i/>
          <w:iCs/>
          <w:lang w:val="nl-BE"/>
        </w:rPr>
        <w:t>Justice</w:t>
      </w:r>
      <w:proofErr w:type="spellEnd"/>
      <w:r w:rsidRPr="00575D3F">
        <w:rPr>
          <w:lang w:val="nl-BE"/>
        </w:rPr>
        <w:t>, Online, 21-23 oktober 2020.</w:t>
      </w:r>
    </w:p>
  </w:footnote>
  <w:footnote w:id="4">
    <w:p w14:paraId="2A4565AF" w14:textId="77777777" w:rsidR="00643CB6" w:rsidRPr="006F1189" w:rsidRDefault="00643CB6" w:rsidP="00643CB6">
      <w:pPr>
        <w:pStyle w:val="Voetnoottekst"/>
        <w:rPr>
          <w:lang w:val="nl-BE"/>
        </w:rPr>
      </w:pPr>
      <w:r>
        <w:rPr>
          <w:rStyle w:val="Voetnootmarkering"/>
        </w:rPr>
        <w:footnoteRef/>
      </w:r>
      <w:r w:rsidRPr="00F80ABA">
        <w:rPr>
          <w:lang w:val="nl-BE"/>
        </w:rPr>
        <w:t xml:space="preserve"> Belgische gevangenissen: Huidige situatie en toekomstige scenario’s – Synthese. Health Services Research (HSR). Brussel: Federaal Kenniscentrum voor de Gezondheidszorg (KCE). </w:t>
      </w:r>
      <w:r w:rsidRPr="006F1189">
        <w:rPr>
          <w:lang w:val="nl-BE"/>
        </w:rPr>
        <w:t xml:space="preserve">KCE </w:t>
      </w:r>
      <w:proofErr w:type="spellStart"/>
      <w:r w:rsidRPr="006F1189">
        <w:rPr>
          <w:lang w:val="nl-BE"/>
        </w:rPr>
        <w:t>Reports</w:t>
      </w:r>
      <w:proofErr w:type="spellEnd"/>
      <w:r w:rsidRPr="006F1189">
        <w:rPr>
          <w:lang w:val="nl-BE"/>
        </w:rPr>
        <w:t xml:space="preserve"> 293As.</w:t>
      </w:r>
    </w:p>
  </w:footnote>
  <w:footnote w:id="5">
    <w:p w14:paraId="18DD3240" w14:textId="1C7086E7" w:rsidR="00F80ABA" w:rsidRPr="006F1189" w:rsidRDefault="00F80ABA">
      <w:pPr>
        <w:pStyle w:val="Voetnoottekst"/>
        <w:rPr>
          <w:lang w:val="nl-BE"/>
        </w:rPr>
      </w:pPr>
      <w:r>
        <w:rPr>
          <w:rStyle w:val="Voetnootmarkering"/>
        </w:rPr>
        <w:footnoteRef/>
      </w:r>
      <w:r w:rsidRPr="00F80ABA">
        <w:rPr>
          <w:lang w:val="nl-BE"/>
        </w:rPr>
        <w:t xml:space="preserve"> </w:t>
      </w:r>
      <w:proofErr w:type="spellStart"/>
      <w:r w:rsidRPr="00F80ABA">
        <w:rPr>
          <w:lang w:val="nl-BE"/>
        </w:rPr>
        <w:t>Favril</w:t>
      </w:r>
      <w:proofErr w:type="spellEnd"/>
      <w:r w:rsidRPr="00F80ABA">
        <w:rPr>
          <w:lang w:val="nl-BE"/>
        </w:rPr>
        <w:t xml:space="preserve">, L., Vander </w:t>
      </w:r>
      <w:proofErr w:type="spellStart"/>
      <w:r w:rsidRPr="00F80ABA">
        <w:rPr>
          <w:lang w:val="nl-BE"/>
        </w:rPr>
        <w:t>Laenen</w:t>
      </w:r>
      <w:proofErr w:type="spellEnd"/>
      <w:r w:rsidRPr="00F80ABA">
        <w:rPr>
          <w:lang w:val="nl-BE"/>
        </w:rPr>
        <w:t xml:space="preserve">, F., &amp; </w:t>
      </w:r>
      <w:proofErr w:type="spellStart"/>
      <w:r w:rsidRPr="00F80ABA">
        <w:rPr>
          <w:lang w:val="nl-BE"/>
        </w:rPr>
        <w:t>Audenaert</w:t>
      </w:r>
      <w:proofErr w:type="spellEnd"/>
      <w:r w:rsidRPr="00F80ABA">
        <w:rPr>
          <w:lang w:val="nl-BE"/>
        </w:rPr>
        <w:t xml:space="preserve">, K. (2017). Suïcidaal gedrag bij gedetineerden in Vlaanderen : prevalentie en samenhang met psychische </w:t>
      </w:r>
      <w:proofErr w:type="spellStart"/>
      <w:r w:rsidRPr="00F80ABA">
        <w:rPr>
          <w:lang w:val="nl-BE"/>
        </w:rPr>
        <w:t>distress</w:t>
      </w:r>
      <w:proofErr w:type="spellEnd"/>
      <w:r w:rsidRPr="00F80ABA">
        <w:rPr>
          <w:lang w:val="nl-BE"/>
        </w:rPr>
        <w:t xml:space="preserve">. </w:t>
      </w:r>
      <w:r w:rsidRPr="006F1189">
        <w:rPr>
          <w:lang w:val="nl-BE"/>
        </w:rPr>
        <w:t>Tijdschrift voor psychiatrie, 59(4), 203–211.</w:t>
      </w:r>
    </w:p>
  </w:footnote>
  <w:footnote w:id="6">
    <w:p w14:paraId="2EBFFFC1" w14:textId="64770085" w:rsidR="00231B18" w:rsidRDefault="00231B18">
      <w:pPr>
        <w:pStyle w:val="Voetnoottekst"/>
      </w:pPr>
      <w:r>
        <w:rPr>
          <w:rStyle w:val="Voetnootmarkering"/>
        </w:rPr>
        <w:footnoteRef/>
      </w:r>
      <w:r w:rsidRPr="00231B18">
        <w:rPr>
          <w:lang w:val="nl-BE"/>
        </w:rPr>
        <w:t xml:space="preserve"> </w:t>
      </w:r>
      <w:proofErr w:type="spellStart"/>
      <w:r w:rsidRPr="00231B18">
        <w:rPr>
          <w:lang w:val="nl-BE"/>
        </w:rPr>
        <w:t>Uyttersprot</w:t>
      </w:r>
      <w:proofErr w:type="spellEnd"/>
      <w:r w:rsidRPr="00231B18">
        <w:rPr>
          <w:lang w:val="nl-BE"/>
        </w:rPr>
        <w:t xml:space="preserve">, C., &amp; Vandevelde, S. (2019). Personen met verstandelijke beperkingen in de gevangenis : het belang van screening voor een aangepaste bejegening en ondersteuning. </w:t>
      </w:r>
      <w:r>
        <w:t>Fatik, 36(162), 17–24.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41CE4280"/>
    <w:multiLevelType w:val="hybridMultilevel"/>
    <w:tmpl w:val="F730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30BA6"/>
    <w:multiLevelType w:val="hybridMultilevel"/>
    <w:tmpl w:val="6A608010"/>
    <w:lvl w:ilvl="0" w:tplc="0DA0304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5"/>
  </w:num>
  <w:num w:numId="4" w16cid:durableId="1881893581">
    <w:abstractNumId w:val="0"/>
  </w:num>
  <w:num w:numId="5" w16cid:durableId="1872067612">
    <w:abstractNumId w:val="4"/>
  </w:num>
  <w:num w:numId="6" w16cid:durableId="198600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07178F"/>
    <w:rsid w:val="00075E69"/>
    <w:rsid w:val="00086BF1"/>
    <w:rsid w:val="00097B3E"/>
    <w:rsid w:val="000A260C"/>
    <w:rsid w:val="000D5676"/>
    <w:rsid w:val="00102FE6"/>
    <w:rsid w:val="00166B59"/>
    <w:rsid w:val="0017605A"/>
    <w:rsid w:val="00190E4D"/>
    <w:rsid w:val="001A794A"/>
    <w:rsid w:val="001F62B6"/>
    <w:rsid w:val="00210CCD"/>
    <w:rsid w:val="00231B18"/>
    <w:rsid w:val="0026126C"/>
    <w:rsid w:val="00281759"/>
    <w:rsid w:val="00285BEF"/>
    <w:rsid w:val="002E3EFC"/>
    <w:rsid w:val="0030442C"/>
    <w:rsid w:val="003070A7"/>
    <w:rsid w:val="0032216D"/>
    <w:rsid w:val="00363FB2"/>
    <w:rsid w:val="003A463C"/>
    <w:rsid w:val="003B6CE6"/>
    <w:rsid w:val="003C5147"/>
    <w:rsid w:val="003D15BA"/>
    <w:rsid w:val="003D6CD7"/>
    <w:rsid w:val="003E7427"/>
    <w:rsid w:val="004209F5"/>
    <w:rsid w:val="004639E5"/>
    <w:rsid w:val="004862A1"/>
    <w:rsid w:val="004A748E"/>
    <w:rsid w:val="004F788D"/>
    <w:rsid w:val="00502D13"/>
    <w:rsid w:val="005135E8"/>
    <w:rsid w:val="00552A47"/>
    <w:rsid w:val="00585BF8"/>
    <w:rsid w:val="0058681A"/>
    <w:rsid w:val="00592085"/>
    <w:rsid w:val="005C1C75"/>
    <w:rsid w:val="005C1F82"/>
    <w:rsid w:val="005D6B7A"/>
    <w:rsid w:val="00643CB6"/>
    <w:rsid w:val="006E30F1"/>
    <w:rsid w:val="006F1189"/>
    <w:rsid w:val="00724369"/>
    <w:rsid w:val="00777149"/>
    <w:rsid w:val="007A3094"/>
    <w:rsid w:val="007A43A5"/>
    <w:rsid w:val="007F7C55"/>
    <w:rsid w:val="00801E91"/>
    <w:rsid w:val="008B05E9"/>
    <w:rsid w:val="008D7284"/>
    <w:rsid w:val="00901C32"/>
    <w:rsid w:val="0093351E"/>
    <w:rsid w:val="0094763E"/>
    <w:rsid w:val="0095255E"/>
    <w:rsid w:val="00967481"/>
    <w:rsid w:val="00A34696"/>
    <w:rsid w:val="00A5282C"/>
    <w:rsid w:val="00A84E53"/>
    <w:rsid w:val="00A9410E"/>
    <w:rsid w:val="00AA6971"/>
    <w:rsid w:val="00AC2008"/>
    <w:rsid w:val="00AE5675"/>
    <w:rsid w:val="00AF5893"/>
    <w:rsid w:val="00B20D05"/>
    <w:rsid w:val="00B27F7C"/>
    <w:rsid w:val="00B3054F"/>
    <w:rsid w:val="00B63CFD"/>
    <w:rsid w:val="00B710C1"/>
    <w:rsid w:val="00B71B43"/>
    <w:rsid w:val="00BC2654"/>
    <w:rsid w:val="00C16EB8"/>
    <w:rsid w:val="00C4164D"/>
    <w:rsid w:val="00C41FFA"/>
    <w:rsid w:val="00C42949"/>
    <w:rsid w:val="00C71870"/>
    <w:rsid w:val="00C80CAE"/>
    <w:rsid w:val="00C82D09"/>
    <w:rsid w:val="00C82E0D"/>
    <w:rsid w:val="00CD2972"/>
    <w:rsid w:val="00CD3FD7"/>
    <w:rsid w:val="00CF2183"/>
    <w:rsid w:val="00D06CDA"/>
    <w:rsid w:val="00D1529D"/>
    <w:rsid w:val="00D2700F"/>
    <w:rsid w:val="00D27665"/>
    <w:rsid w:val="00D504A9"/>
    <w:rsid w:val="00D63DC0"/>
    <w:rsid w:val="00D67535"/>
    <w:rsid w:val="00D77D90"/>
    <w:rsid w:val="00D77FFE"/>
    <w:rsid w:val="00D8602E"/>
    <w:rsid w:val="00D950DB"/>
    <w:rsid w:val="00DB1831"/>
    <w:rsid w:val="00DC3C6B"/>
    <w:rsid w:val="00DD1533"/>
    <w:rsid w:val="00E307C4"/>
    <w:rsid w:val="00E3565A"/>
    <w:rsid w:val="00E45A8A"/>
    <w:rsid w:val="00E92B04"/>
    <w:rsid w:val="00EA2456"/>
    <w:rsid w:val="00ED2EF2"/>
    <w:rsid w:val="00F154DB"/>
    <w:rsid w:val="00F2575F"/>
    <w:rsid w:val="00F80ABA"/>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DC3C6B"/>
    <w:pPr>
      <w:keepNext/>
      <w:keepLines/>
      <w:spacing w:before="480" w:after="24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DC3C6B"/>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iPriority w:val="99"/>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9632</Characters>
  <Application>Microsoft Office Word</Application>
  <DocSecurity>0</DocSecurity>
  <Lines>80</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Parent Eva</cp:lastModifiedBy>
  <cp:revision>4</cp:revision>
  <dcterms:created xsi:type="dcterms:W3CDTF">2023-11-02T09:40:00Z</dcterms:created>
  <dcterms:modified xsi:type="dcterms:W3CDTF">2023-11-02T15:51:00Z</dcterms:modified>
</cp:coreProperties>
</file>