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5CC202B" w14:textId="77777777" w:rsidR="00FF3AC6" w:rsidRDefault="00FF3AC6" w:rsidP="00023AC7">
      <w:pPr>
        <w:spacing w:before="240" w:after="240"/>
        <w:rPr>
          <w:rStyle w:val="Titredulivre"/>
          <w:rFonts w:cs="Arial"/>
          <w:sz w:val="24"/>
          <w:szCs w:val="24"/>
        </w:rPr>
      </w:pPr>
    </w:p>
    <w:p w14:paraId="42FAE1B8" w14:textId="77777777" w:rsidR="006D6A16" w:rsidRPr="006D6A16" w:rsidRDefault="00624628" w:rsidP="006D6A16">
      <w:pPr>
        <w:spacing w:before="240" w:after="240"/>
        <w:jc w:val="right"/>
        <w:rPr>
          <w:rStyle w:val="Titredulivre"/>
          <w:rFonts w:cs="Arial"/>
          <w:sz w:val="24"/>
          <w:szCs w:val="24"/>
        </w:rPr>
      </w:pPr>
      <w:r>
        <w:rPr>
          <w:rStyle w:val="Titredulivre"/>
          <w:sz w:val="24"/>
          <w:bdr w:val="nil"/>
        </w:rPr>
        <w:t xml:space="preserve">   </w:t>
      </w:r>
      <w:r>
        <w:rPr>
          <w:rStyle w:val="Titredulivre"/>
          <w:sz w:val="24"/>
          <w:szCs w:val="24"/>
          <w:bdr w:val="nil"/>
        </w:rPr>
        <w:tab/>
      </w:r>
      <w:r>
        <w:rPr>
          <w:rStyle w:val="Titredulivre"/>
          <w:sz w:val="24"/>
          <w:bdr w:val="nil"/>
        </w:rPr>
        <w:t>DOC-BOARD-24-03-07</w:t>
      </w:r>
    </w:p>
    <w:p w14:paraId="2DB2305A" w14:textId="77777777" w:rsidR="006D6A16" w:rsidRDefault="00624628" w:rsidP="00D807CD">
      <w:pPr>
        <w:pStyle w:val="Titre1"/>
        <w:spacing w:line="360" w:lineRule="auto"/>
        <w:jc w:val="center"/>
      </w:pPr>
      <w:bookmarkStart w:id="0" w:name="_Toc161062555"/>
      <w:r>
        <w:rPr>
          <w:bdr w:val="nil"/>
        </w:rPr>
        <w:t>Positionspapier des EDF zur Umstellung von Einrichtungen auf Nachbarschaftsdienste und selbstbestimmtes Leben</w:t>
      </w:r>
      <w:bookmarkEnd w:id="0"/>
    </w:p>
    <w:p w14:paraId="27F5C4BD" w14:textId="3F73ADD4" w:rsidR="00E0253A" w:rsidRPr="0002460E" w:rsidRDefault="00624628" w:rsidP="001A6E62">
      <w:pPr>
        <w:pStyle w:val="Citationintense"/>
        <w:pBdr>
          <w:bottom w:val="single" w:sz="4" w:space="0" w:color="auto"/>
        </w:pBdr>
        <w:tabs>
          <w:tab w:val="left" w:pos="7230"/>
          <w:tab w:val="left" w:pos="7371"/>
        </w:tabs>
        <w:ind w:left="0" w:right="0"/>
        <w:jc w:val="center"/>
        <w:rPr>
          <w:rFonts w:cs="Arial"/>
          <w:b/>
          <w:bCs/>
          <w:i w:val="0"/>
          <w:sz w:val="24"/>
          <w:szCs w:val="24"/>
        </w:rPr>
      </w:pPr>
      <w:r>
        <w:rPr>
          <w:rStyle w:val="lev"/>
          <w:i w:val="0"/>
          <w:sz w:val="24"/>
          <w:bdr w:val="nil"/>
        </w:rPr>
        <w:t>Dokument für die Entscheidungsfindung</w:t>
      </w:r>
    </w:p>
    <w:p w14:paraId="1A894A8C" w14:textId="77777777" w:rsidR="0051160D" w:rsidRDefault="00624628" w:rsidP="00D807CD">
      <w:pPr>
        <w:pStyle w:val="Titre2"/>
        <w:spacing w:after="240"/>
      </w:pPr>
      <w:bookmarkStart w:id="1" w:name="_Toc161062556"/>
      <w:r>
        <w:rPr>
          <w:bdr w:val="nil"/>
        </w:rPr>
        <w:t>Zweck dieses Dokuments</w:t>
      </w:r>
      <w:bookmarkEnd w:id="1"/>
    </w:p>
    <w:p w14:paraId="1FFDA611" w14:textId="77777777" w:rsidR="0002460E" w:rsidRPr="00D807CD" w:rsidRDefault="00624628" w:rsidP="0002460E">
      <w:pPr>
        <w:spacing w:line="360" w:lineRule="auto"/>
        <w:rPr>
          <w:sz w:val="24"/>
          <w:szCs w:val="24"/>
        </w:rPr>
      </w:pPr>
      <w:r>
        <w:rPr>
          <w:sz w:val="24"/>
          <w:bdr w:val="nil"/>
        </w:rPr>
        <w:t>Der Zweck dieses Punktes besteht darin, zu entscheiden, ob der Vorstand der Genehmigung dieser neuen Positionsbeschreibung des EDF zustimmt, und Ihre Kommentare dazu zu hören.</w:t>
      </w:r>
    </w:p>
    <w:p w14:paraId="60D89F68" w14:textId="77777777" w:rsidR="00023AC7" w:rsidRDefault="00624628" w:rsidP="00D807CD">
      <w:pPr>
        <w:pStyle w:val="Titre2"/>
        <w:spacing w:after="240"/>
      </w:pPr>
      <w:bookmarkStart w:id="2" w:name="_Toc161062557"/>
      <w:r>
        <w:rPr>
          <w:bdr w:val="nil"/>
        </w:rPr>
        <w:t>Fragen an den Verwaltungsrat:</w:t>
      </w:r>
      <w:bookmarkEnd w:id="2"/>
      <w:r>
        <w:rPr>
          <w:bdr w:val="nil"/>
        </w:rPr>
        <w:t xml:space="preserve"> </w:t>
      </w:r>
    </w:p>
    <w:p w14:paraId="716852B0" w14:textId="77777777" w:rsidR="001A6E62" w:rsidRPr="00D807CD" w:rsidRDefault="00624628" w:rsidP="00D807CD">
      <w:pPr>
        <w:numPr>
          <w:ilvl w:val="0"/>
          <w:numId w:val="28"/>
        </w:numPr>
        <w:spacing w:line="360" w:lineRule="auto"/>
        <w:rPr>
          <w:sz w:val="24"/>
          <w:szCs w:val="24"/>
        </w:rPr>
      </w:pPr>
      <w:r>
        <w:rPr>
          <w:sz w:val="24"/>
          <w:bdr w:val="nil"/>
        </w:rPr>
        <w:t>Möchten Sie diesem neuen Positionspapier des EDF zum selbstbestimmten Leben und zur Inklusion in die Gemeinschaft zustimmen?</w:t>
      </w:r>
    </w:p>
    <w:p w14:paraId="4A391815" w14:textId="77777777" w:rsidR="00023AC7" w:rsidRDefault="00624628" w:rsidP="00D807CD">
      <w:pPr>
        <w:pStyle w:val="Titre2"/>
        <w:spacing w:after="240"/>
      </w:pPr>
      <w:bookmarkStart w:id="3" w:name="_Toc161062558"/>
      <w:r>
        <w:rPr>
          <w:bdr w:val="nil"/>
        </w:rPr>
        <w:t>Einleitung</w:t>
      </w:r>
      <w:bookmarkEnd w:id="3"/>
      <w:r>
        <w:rPr>
          <w:bdr w:val="nil"/>
        </w:rPr>
        <w:t xml:space="preserve"> </w:t>
      </w:r>
    </w:p>
    <w:p w14:paraId="0B5DB812" w14:textId="77777777" w:rsidR="001A6E62" w:rsidRPr="00D807CD" w:rsidRDefault="00624628" w:rsidP="00D807CD">
      <w:pPr>
        <w:spacing w:line="360" w:lineRule="auto"/>
        <w:rPr>
          <w:sz w:val="24"/>
          <w:szCs w:val="24"/>
        </w:rPr>
      </w:pPr>
      <w:r>
        <w:rPr>
          <w:sz w:val="24"/>
          <w:bdr w:val="nil"/>
        </w:rPr>
        <w:t xml:space="preserve">Die Ausarbeitung dieses Positionspapiers wurde von den Vorstandsmitgliedern Maureen </w:t>
      </w:r>
      <w:proofErr w:type="spellStart"/>
      <w:r>
        <w:rPr>
          <w:sz w:val="24"/>
          <w:bdr w:val="nil"/>
        </w:rPr>
        <w:t>Piggot</w:t>
      </w:r>
      <w:proofErr w:type="spellEnd"/>
      <w:r>
        <w:rPr>
          <w:sz w:val="24"/>
          <w:bdr w:val="nil"/>
        </w:rPr>
        <w:t xml:space="preserve"> und Nadia </w:t>
      </w:r>
      <w:proofErr w:type="spellStart"/>
      <w:r>
        <w:rPr>
          <w:sz w:val="24"/>
          <w:bdr w:val="nil"/>
        </w:rPr>
        <w:t>Hadad</w:t>
      </w:r>
      <w:proofErr w:type="spellEnd"/>
      <w:r>
        <w:rPr>
          <w:sz w:val="24"/>
          <w:bdr w:val="nil"/>
        </w:rPr>
        <w:t xml:space="preserve"> geleitet und es wurde von Haydn </w:t>
      </w:r>
      <w:proofErr w:type="spellStart"/>
      <w:r>
        <w:rPr>
          <w:sz w:val="24"/>
          <w:bdr w:val="nil"/>
        </w:rPr>
        <w:t>Hammersley</w:t>
      </w:r>
      <w:proofErr w:type="spellEnd"/>
      <w:r>
        <w:rPr>
          <w:sz w:val="24"/>
          <w:bdr w:val="nil"/>
        </w:rPr>
        <w:t xml:space="preserve">, dem Koordinator für Sozialpolitik, verfasst. Im Sommer 2023 wurde der Text mit Hilfe von Catherine und Alejandro überarbeitet und neu formatiert. Bei den Sitzungen des Exekutivausschusses im September 2023 und Januar 2024 leisteten die Ausschussmitglieder zusätzliche Beiträge, die Haydn dann in den Text einfügte. </w:t>
      </w:r>
    </w:p>
    <w:p w14:paraId="256B473C" w14:textId="77777777" w:rsidR="001A6E62" w:rsidRPr="00D807CD" w:rsidRDefault="00624628" w:rsidP="00D807CD">
      <w:pPr>
        <w:spacing w:line="360" w:lineRule="auto"/>
        <w:rPr>
          <w:sz w:val="24"/>
          <w:szCs w:val="24"/>
        </w:rPr>
      </w:pPr>
      <w:r>
        <w:rPr>
          <w:sz w:val="24"/>
          <w:bdr w:val="nil"/>
        </w:rPr>
        <w:t xml:space="preserve">Das Positionspapier wurde am 19. Februar von Haydn an alle Mitglieder des Verwaltungsrats geschickt, um ihnen mehr Zeit zur Prüfung vor der Verwaltungsratssitzung zu geben und ihnen die Möglichkeit zu geben, ihre Kommentare schriftlich einzureichen. </w:t>
      </w:r>
    </w:p>
    <w:p w14:paraId="1F988138" w14:textId="77777777" w:rsidR="001A6E62" w:rsidRDefault="00624628" w:rsidP="00D807CD">
      <w:pPr>
        <w:pStyle w:val="Titre2"/>
        <w:spacing w:after="240" w:line="360" w:lineRule="auto"/>
      </w:pPr>
      <w:bookmarkStart w:id="4" w:name="_Toc161062559"/>
      <w:r>
        <w:rPr>
          <w:bdr w:val="nil"/>
        </w:rPr>
        <w:t>Der vollständige Text</w:t>
      </w:r>
      <w:bookmarkEnd w:id="4"/>
      <w:r>
        <w:rPr>
          <w:bdr w:val="nil"/>
        </w:rPr>
        <w:t xml:space="preserve"> </w:t>
      </w:r>
    </w:p>
    <w:p w14:paraId="38A21291" w14:textId="77777777" w:rsidR="002D4FDD" w:rsidRPr="00D807CD" w:rsidRDefault="00624628" w:rsidP="00D807CD">
      <w:pPr>
        <w:pStyle w:val="Paragraphedeliste"/>
        <w:spacing w:line="360" w:lineRule="auto"/>
        <w:ind w:left="0"/>
        <w:rPr>
          <w:rFonts w:ascii="Arial" w:hAnsi="Arial" w:cs="Arial"/>
          <w:sz w:val="24"/>
          <w:szCs w:val="24"/>
        </w:rPr>
      </w:pPr>
      <w:r>
        <w:rPr>
          <w:rFonts w:ascii="Arial" w:hAnsi="Arial"/>
          <w:sz w:val="24"/>
          <w:bdr w:val="nil"/>
        </w:rPr>
        <w:t>Im Folgenden finden Sie den vollständigen Text des neuen Positionspapiers des EDF.</w:t>
      </w:r>
      <w:bookmarkStart w:id="5" w:name="_Hlk145067534"/>
    </w:p>
    <w:p w14:paraId="3CAF1A9E" w14:textId="77777777" w:rsidR="002D4FDD" w:rsidRDefault="002D4FDD" w:rsidP="002D4FDD">
      <w:pPr>
        <w:pStyle w:val="Paragraphedeliste"/>
        <w:spacing w:line="360" w:lineRule="auto"/>
        <w:ind w:left="0"/>
        <w:rPr>
          <w:rFonts w:ascii="Arial" w:hAnsi="Arial" w:cs="Arial"/>
          <w:sz w:val="24"/>
          <w:szCs w:val="24"/>
        </w:rPr>
      </w:pPr>
    </w:p>
    <w:p w14:paraId="249D065A" w14:textId="77777777" w:rsidR="002D4FDD" w:rsidRDefault="002D4FDD" w:rsidP="002D4FDD">
      <w:pPr>
        <w:pStyle w:val="Paragraphedeliste"/>
        <w:spacing w:line="360" w:lineRule="auto"/>
        <w:ind w:left="0"/>
        <w:rPr>
          <w:rFonts w:ascii="Arial" w:hAnsi="Arial" w:cs="Arial"/>
          <w:sz w:val="24"/>
          <w:szCs w:val="24"/>
        </w:rPr>
      </w:pPr>
    </w:p>
    <w:p w14:paraId="37097433" w14:textId="77777777" w:rsidR="002D4FDD" w:rsidRDefault="002D4FDD" w:rsidP="002D4FDD">
      <w:pPr>
        <w:pStyle w:val="Paragraphedeliste"/>
        <w:spacing w:line="360" w:lineRule="auto"/>
        <w:ind w:left="0"/>
        <w:rPr>
          <w:rFonts w:ascii="Arial" w:hAnsi="Arial" w:cs="Arial"/>
          <w:sz w:val="24"/>
          <w:szCs w:val="24"/>
        </w:rPr>
      </w:pPr>
    </w:p>
    <w:p w14:paraId="00BBA9A3" w14:textId="77777777" w:rsidR="002D4FDD" w:rsidRDefault="002D4FDD" w:rsidP="002D4FDD">
      <w:pPr>
        <w:pStyle w:val="Paragraphedeliste"/>
        <w:spacing w:line="360" w:lineRule="auto"/>
        <w:ind w:left="0"/>
        <w:rPr>
          <w:rFonts w:ascii="Arial" w:hAnsi="Arial" w:cs="Arial"/>
          <w:sz w:val="24"/>
          <w:szCs w:val="24"/>
        </w:rPr>
      </w:pPr>
    </w:p>
    <w:p w14:paraId="3A679547" w14:textId="77777777" w:rsidR="002D4FDD" w:rsidRDefault="002D4FDD" w:rsidP="002D4FDD">
      <w:pPr>
        <w:pStyle w:val="Paragraphedeliste"/>
        <w:spacing w:line="360" w:lineRule="auto"/>
        <w:ind w:left="0"/>
        <w:rPr>
          <w:rFonts w:ascii="Arial" w:hAnsi="Arial" w:cs="Arial"/>
          <w:sz w:val="24"/>
          <w:szCs w:val="24"/>
        </w:rPr>
      </w:pPr>
    </w:p>
    <w:p w14:paraId="32D68E13" w14:textId="77777777" w:rsidR="002D4FDD" w:rsidRDefault="002D4FDD" w:rsidP="002D4FDD">
      <w:pPr>
        <w:pStyle w:val="Paragraphedeliste"/>
        <w:spacing w:line="360" w:lineRule="auto"/>
        <w:ind w:left="0"/>
        <w:rPr>
          <w:rFonts w:ascii="Arial" w:hAnsi="Arial" w:cs="Arial"/>
          <w:sz w:val="24"/>
          <w:szCs w:val="24"/>
        </w:rPr>
      </w:pPr>
    </w:p>
    <w:p w14:paraId="6C154691" w14:textId="77777777" w:rsidR="002D4FDD" w:rsidRDefault="002D4FDD" w:rsidP="002D4FDD">
      <w:pPr>
        <w:pStyle w:val="Paragraphedeliste"/>
        <w:spacing w:line="360" w:lineRule="auto"/>
        <w:ind w:left="0"/>
        <w:rPr>
          <w:rFonts w:ascii="Arial" w:hAnsi="Arial" w:cs="Arial"/>
          <w:sz w:val="24"/>
          <w:szCs w:val="24"/>
        </w:rPr>
      </w:pPr>
    </w:p>
    <w:p w14:paraId="07411673" w14:textId="77777777" w:rsidR="002D4FDD" w:rsidRPr="002D4FDD" w:rsidRDefault="002D4FDD" w:rsidP="002D4FDD">
      <w:pPr>
        <w:pStyle w:val="Paragraphedeliste"/>
        <w:spacing w:line="360" w:lineRule="auto"/>
        <w:ind w:left="0"/>
        <w:rPr>
          <w:rFonts w:ascii="Arial" w:hAnsi="Arial" w:cs="Arial"/>
          <w:sz w:val="24"/>
          <w:szCs w:val="24"/>
        </w:rPr>
      </w:pPr>
    </w:p>
    <w:p w14:paraId="6706F14C" w14:textId="77777777" w:rsidR="002D4FDD" w:rsidRPr="005A53C1" w:rsidRDefault="00624628" w:rsidP="002D4FDD">
      <w:pPr>
        <w:pStyle w:val="Titre1"/>
        <w:jc w:val="center"/>
        <w:rPr>
          <w:rFonts w:cs="Arial"/>
          <w:b w:val="0"/>
          <w:bCs w:val="0"/>
          <w:sz w:val="48"/>
          <w:szCs w:val="48"/>
        </w:rPr>
      </w:pPr>
      <w:bookmarkStart w:id="6" w:name="_Toc161062560"/>
      <w:r>
        <w:rPr>
          <w:sz w:val="48"/>
          <w:bdr w:val="nil"/>
        </w:rPr>
        <w:t>Positionspapier des EDF zur Umstellung von Einrichtungen auf Nachbarschaftsdienste und selbstbestimmtes Leben für Menschen mit Behinderungen:</w:t>
      </w:r>
      <w:bookmarkEnd w:id="6"/>
    </w:p>
    <w:p w14:paraId="1063E14E" w14:textId="77777777" w:rsidR="002D4FDD" w:rsidRPr="005A53C1" w:rsidRDefault="00624628" w:rsidP="002D4FDD">
      <w:pPr>
        <w:pStyle w:val="Titre1"/>
        <w:jc w:val="center"/>
        <w:rPr>
          <w:rFonts w:cs="Arial"/>
          <w:sz w:val="44"/>
          <w:szCs w:val="44"/>
        </w:rPr>
      </w:pPr>
      <w:bookmarkStart w:id="7" w:name="_Toc161062561"/>
      <w:r>
        <w:rPr>
          <w:sz w:val="44"/>
          <w:bdr w:val="nil"/>
        </w:rPr>
        <w:t xml:space="preserve">Welche Rolle </w:t>
      </w:r>
      <w:proofErr w:type="gramStart"/>
      <w:r>
        <w:rPr>
          <w:sz w:val="44"/>
          <w:bdr w:val="nil"/>
        </w:rPr>
        <w:t>sollten</w:t>
      </w:r>
      <w:proofErr w:type="gramEnd"/>
      <w:r>
        <w:rPr>
          <w:sz w:val="44"/>
          <w:bdr w:val="nil"/>
        </w:rPr>
        <w:t xml:space="preserve"> die EU und ihre Mitgliedstaaten spielen?</w:t>
      </w:r>
      <w:bookmarkEnd w:id="7"/>
    </w:p>
    <w:p w14:paraId="62C72801" w14:textId="77777777" w:rsidR="002D4FDD" w:rsidRPr="00FE36CA" w:rsidRDefault="002D4FDD" w:rsidP="002D4FDD"/>
    <w:p w14:paraId="0D5690D3" w14:textId="77777777" w:rsidR="002D4FDD" w:rsidRPr="00FE36CA" w:rsidRDefault="002D4FDD" w:rsidP="002D4FDD"/>
    <w:p w14:paraId="4CFE95B1" w14:textId="77777777" w:rsidR="002D4FDD" w:rsidRPr="002C37D4" w:rsidRDefault="00624628" w:rsidP="002D4FDD">
      <w:pPr>
        <w:pStyle w:val="Titre1"/>
        <w:jc w:val="center"/>
        <w:rPr>
          <w:rFonts w:cs="Arial"/>
          <w:sz w:val="40"/>
          <w:szCs w:val="40"/>
        </w:rPr>
      </w:pPr>
      <w:bookmarkStart w:id="8" w:name="_Toc161062562"/>
      <w:r>
        <w:rPr>
          <w:sz w:val="40"/>
          <w:bdr w:val="nil"/>
        </w:rPr>
        <w:t>Ein Positionspapier des Europäischen Behindertenforums</w:t>
      </w:r>
      <w:bookmarkEnd w:id="8"/>
    </w:p>
    <w:p w14:paraId="5DC17320" w14:textId="77777777" w:rsidR="002D4FDD" w:rsidRDefault="002D4FDD" w:rsidP="002D4FDD"/>
    <w:p w14:paraId="616A8BEF" w14:textId="77777777" w:rsidR="002D4FDD" w:rsidRDefault="002D4FDD" w:rsidP="002D4FDD"/>
    <w:p w14:paraId="4F872C96" w14:textId="77777777" w:rsidR="002D4FDD" w:rsidRDefault="002D4FDD" w:rsidP="002D4FDD"/>
    <w:p w14:paraId="0FC64B64" w14:textId="77777777" w:rsidR="002D4FDD" w:rsidRDefault="002D4FDD" w:rsidP="002D4FDD"/>
    <w:p w14:paraId="4546E716" w14:textId="77777777" w:rsidR="002D4FDD" w:rsidRDefault="002D4FDD" w:rsidP="002D4FDD"/>
    <w:p w14:paraId="4C1C13D4" w14:textId="77777777" w:rsidR="002D4FDD" w:rsidRDefault="002D4FDD" w:rsidP="002D4FDD"/>
    <w:p w14:paraId="6C3187E0" w14:textId="77777777" w:rsidR="002D4FDD" w:rsidRDefault="002D4FDD" w:rsidP="002D4FDD"/>
    <w:p w14:paraId="433690BD" w14:textId="77777777" w:rsidR="002D4FDD" w:rsidRDefault="002D4FDD" w:rsidP="002D4FDD"/>
    <w:p w14:paraId="1F5B7FF3" w14:textId="77777777" w:rsidR="002D4FDD" w:rsidRDefault="002D4FDD" w:rsidP="002D4FDD"/>
    <w:p w14:paraId="1448463A" w14:textId="77777777" w:rsidR="002D4FDD" w:rsidRDefault="002D4FDD" w:rsidP="002D4FDD"/>
    <w:p w14:paraId="33BAD458" w14:textId="77777777" w:rsidR="002D4FDD" w:rsidRDefault="002D4FDD" w:rsidP="002D4FDD"/>
    <w:p w14:paraId="2171136E" w14:textId="77777777" w:rsidR="002D4FDD" w:rsidRDefault="00624628" w:rsidP="002D4FDD">
      <w:pPr>
        <w:pStyle w:val="En-ttedetabledesmatires"/>
      </w:pPr>
      <w:r>
        <w:rPr>
          <w:bdr w:val="nil"/>
        </w:rPr>
        <w:t>Inhalt</w:t>
      </w:r>
    </w:p>
    <w:p w14:paraId="0A03262D" w14:textId="77777777" w:rsidR="000054B5" w:rsidRPr="009D20B9" w:rsidRDefault="002D4FDD">
      <w:pPr>
        <w:pStyle w:val="TM1"/>
        <w:tabs>
          <w:tab w:val="right" w:leader="dot" w:pos="9980"/>
        </w:tabs>
        <w:rPr>
          <w:rFonts w:ascii="Aptos" w:hAnsi="Aptos"/>
          <w:kern w:val="2"/>
          <w:szCs w:val="24"/>
        </w:rPr>
      </w:pPr>
      <w:r>
        <w:fldChar w:fldCharType="begin"/>
      </w:r>
      <w:r>
        <w:instrText xml:space="preserve"> TOC \o "1-3" \h \z \u </w:instrText>
      </w:r>
      <w:r>
        <w:fldChar w:fldCharType="separate"/>
      </w:r>
      <w:hyperlink w:anchor="_Toc161062555" w:history="1">
        <w:r w:rsidR="000054B5" w:rsidRPr="00910BDF">
          <w:rPr>
            <w:rStyle w:val="Lienhypertexte"/>
            <w:rFonts w:eastAsia="Arial" w:cs="Arial"/>
            <w:bdr w:val="nil"/>
          </w:rPr>
          <w:t>Exposé de position du FEPH sur la transition des institutions vers les services de proximité et la vie en autonomie</w:t>
        </w:r>
        <w:r w:rsidR="000054B5">
          <w:rPr>
            <w:webHidden/>
          </w:rPr>
          <w:tab/>
        </w:r>
        <w:r w:rsidR="000054B5">
          <w:rPr>
            <w:webHidden/>
          </w:rPr>
          <w:fldChar w:fldCharType="begin"/>
        </w:r>
        <w:r w:rsidR="000054B5">
          <w:rPr>
            <w:webHidden/>
          </w:rPr>
          <w:instrText xml:space="preserve"> PAGEREF _Toc161062555 \h </w:instrText>
        </w:r>
        <w:r w:rsidR="000054B5">
          <w:rPr>
            <w:webHidden/>
          </w:rPr>
        </w:r>
        <w:r w:rsidR="000054B5">
          <w:rPr>
            <w:webHidden/>
          </w:rPr>
          <w:fldChar w:fldCharType="separate"/>
        </w:r>
        <w:r w:rsidR="000054B5">
          <w:rPr>
            <w:webHidden/>
          </w:rPr>
          <w:t>1</w:t>
        </w:r>
        <w:r w:rsidR="000054B5">
          <w:rPr>
            <w:webHidden/>
          </w:rPr>
          <w:fldChar w:fldCharType="end"/>
        </w:r>
      </w:hyperlink>
    </w:p>
    <w:p w14:paraId="35DC3D34" w14:textId="77777777" w:rsidR="000054B5" w:rsidRPr="009D20B9" w:rsidRDefault="00000000">
      <w:pPr>
        <w:pStyle w:val="TM2"/>
        <w:tabs>
          <w:tab w:val="right" w:leader="dot" w:pos="9980"/>
        </w:tabs>
        <w:rPr>
          <w:rFonts w:ascii="Aptos" w:hAnsi="Aptos"/>
          <w:kern w:val="2"/>
          <w:szCs w:val="24"/>
        </w:rPr>
      </w:pPr>
      <w:hyperlink w:anchor="_Toc161062556" w:history="1">
        <w:r w:rsidR="000054B5" w:rsidRPr="00910BDF">
          <w:rPr>
            <w:rStyle w:val="Lienhypertexte"/>
            <w:rFonts w:eastAsia="Arial" w:cs="Arial"/>
            <w:bdr w:val="nil"/>
          </w:rPr>
          <w:t>Objectif de ce document</w:t>
        </w:r>
        <w:r w:rsidR="000054B5">
          <w:rPr>
            <w:webHidden/>
          </w:rPr>
          <w:tab/>
        </w:r>
        <w:r w:rsidR="000054B5">
          <w:rPr>
            <w:webHidden/>
          </w:rPr>
          <w:fldChar w:fldCharType="begin"/>
        </w:r>
        <w:r w:rsidR="000054B5">
          <w:rPr>
            <w:webHidden/>
          </w:rPr>
          <w:instrText xml:space="preserve"> PAGEREF _Toc161062556 \h </w:instrText>
        </w:r>
        <w:r w:rsidR="000054B5">
          <w:rPr>
            <w:webHidden/>
          </w:rPr>
        </w:r>
        <w:r w:rsidR="000054B5">
          <w:rPr>
            <w:webHidden/>
          </w:rPr>
          <w:fldChar w:fldCharType="separate"/>
        </w:r>
        <w:r w:rsidR="000054B5">
          <w:rPr>
            <w:webHidden/>
          </w:rPr>
          <w:t>1</w:t>
        </w:r>
        <w:r w:rsidR="000054B5">
          <w:rPr>
            <w:webHidden/>
          </w:rPr>
          <w:fldChar w:fldCharType="end"/>
        </w:r>
      </w:hyperlink>
    </w:p>
    <w:p w14:paraId="5D24B7D9" w14:textId="77777777" w:rsidR="000054B5" w:rsidRPr="009D20B9" w:rsidRDefault="00000000">
      <w:pPr>
        <w:pStyle w:val="TM2"/>
        <w:tabs>
          <w:tab w:val="right" w:leader="dot" w:pos="9980"/>
        </w:tabs>
        <w:rPr>
          <w:rFonts w:ascii="Aptos" w:hAnsi="Aptos"/>
          <w:kern w:val="2"/>
          <w:szCs w:val="24"/>
        </w:rPr>
      </w:pPr>
      <w:hyperlink w:anchor="_Toc161062557" w:history="1">
        <w:r w:rsidR="000054B5" w:rsidRPr="00910BDF">
          <w:rPr>
            <w:rStyle w:val="Lienhypertexte"/>
            <w:rFonts w:eastAsia="Arial" w:cs="Arial"/>
            <w:bdr w:val="nil"/>
          </w:rPr>
          <w:t>Questions adressées au Conseil d’administration :</w:t>
        </w:r>
        <w:r w:rsidR="000054B5">
          <w:rPr>
            <w:webHidden/>
          </w:rPr>
          <w:tab/>
        </w:r>
        <w:r w:rsidR="000054B5">
          <w:rPr>
            <w:webHidden/>
          </w:rPr>
          <w:fldChar w:fldCharType="begin"/>
        </w:r>
        <w:r w:rsidR="000054B5">
          <w:rPr>
            <w:webHidden/>
          </w:rPr>
          <w:instrText xml:space="preserve"> PAGEREF _Toc161062557 \h </w:instrText>
        </w:r>
        <w:r w:rsidR="000054B5">
          <w:rPr>
            <w:webHidden/>
          </w:rPr>
        </w:r>
        <w:r w:rsidR="000054B5">
          <w:rPr>
            <w:webHidden/>
          </w:rPr>
          <w:fldChar w:fldCharType="separate"/>
        </w:r>
        <w:r w:rsidR="000054B5">
          <w:rPr>
            <w:webHidden/>
          </w:rPr>
          <w:t>1</w:t>
        </w:r>
        <w:r w:rsidR="000054B5">
          <w:rPr>
            <w:webHidden/>
          </w:rPr>
          <w:fldChar w:fldCharType="end"/>
        </w:r>
      </w:hyperlink>
    </w:p>
    <w:p w14:paraId="64ADF65E" w14:textId="77777777" w:rsidR="000054B5" w:rsidRPr="009D20B9" w:rsidRDefault="00000000">
      <w:pPr>
        <w:pStyle w:val="TM2"/>
        <w:tabs>
          <w:tab w:val="right" w:leader="dot" w:pos="9980"/>
        </w:tabs>
        <w:rPr>
          <w:rFonts w:ascii="Aptos" w:hAnsi="Aptos"/>
          <w:kern w:val="2"/>
          <w:szCs w:val="24"/>
        </w:rPr>
      </w:pPr>
      <w:hyperlink w:anchor="_Toc161062558" w:history="1">
        <w:r w:rsidR="000054B5" w:rsidRPr="00910BDF">
          <w:rPr>
            <w:rStyle w:val="Lienhypertexte"/>
            <w:rFonts w:eastAsia="Arial" w:cs="Arial"/>
            <w:bdr w:val="nil"/>
          </w:rPr>
          <w:t>Introduction</w:t>
        </w:r>
        <w:r w:rsidR="000054B5">
          <w:rPr>
            <w:webHidden/>
          </w:rPr>
          <w:tab/>
        </w:r>
        <w:r w:rsidR="000054B5">
          <w:rPr>
            <w:webHidden/>
          </w:rPr>
          <w:fldChar w:fldCharType="begin"/>
        </w:r>
        <w:r w:rsidR="000054B5">
          <w:rPr>
            <w:webHidden/>
          </w:rPr>
          <w:instrText xml:space="preserve"> PAGEREF _Toc161062558 \h </w:instrText>
        </w:r>
        <w:r w:rsidR="000054B5">
          <w:rPr>
            <w:webHidden/>
          </w:rPr>
        </w:r>
        <w:r w:rsidR="000054B5">
          <w:rPr>
            <w:webHidden/>
          </w:rPr>
          <w:fldChar w:fldCharType="separate"/>
        </w:r>
        <w:r w:rsidR="000054B5">
          <w:rPr>
            <w:webHidden/>
          </w:rPr>
          <w:t>1</w:t>
        </w:r>
        <w:r w:rsidR="000054B5">
          <w:rPr>
            <w:webHidden/>
          </w:rPr>
          <w:fldChar w:fldCharType="end"/>
        </w:r>
      </w:hyperlink>
    </w:p>
    <w:p w14:paraId="00D15BA1" w14:textId="77777777" w:rsidR="000054B5" w:rsidRPr="009D20B9" w:rsidRDefault="00000000">
      <w:pPr>
        <w:pStyle w:val="TM2"/>
        <w:tabs>
          <w:tab w:val="right" w:leader="dot" w:pos="9980"/>
        </w:tabs>
        <w:rPr>
          <w:rFonts w:ascii="Aptos" w:hAnsi="Aptos"/>
          <w:kern w:val="2"/>
          <w:szCs w:val="24"/>
        </w:rPr>
      </w:pPr>
      <w:hyperlink w:anchor="_Toc161062559" w:history="1">
        <w:r w:rsidR="000054B5" w:rsidRPr="00910BDF">
          <w:rPr>
            <w:rStyle w:val="Lienhypertexte"/>
            <w:rFonts w:eastAsia="Arial" w:cs="Arial"/>
            <w:bdr w:val="nil"/>
          </w:rPr>
          <w:t>Le texte intégral</w:t>
        </w:r>
        <w:r w:rsidR="000054B5">
          <w:rPr>
            <w:webHidden/>
          </w:rPr>
          <w:tab/>
        </w:r>
        <w:r w:rsidR="000054B5">
          <w:rPr>
            <w:webHidden/>
          </w:rPr>
          <w:fldChar w:fldCharType="begin"/>
        </w:r>
        <w:r w:rsidR="000054B5">
          <w:rPr>
            <w:webHidden/>
          </w:rPr>
          <w:instrText xml:space="preserve"> PAGEREF _Toc161062559 \h </w:instrText>
        </w:r>
        <w:r w:rsidR="000054B5">
          <w:rPr>
            <w:webHidden/>
          </w:rPr>
        </w:r>
        <w:r w:rsidR="000054B5">
          <w:rPr>
            <w:webHidden/>
          </w:rPr>
          <w:fldChar w:fldCharType="separate"/>
        </w:r>
        <w:r w:rsidR="000054B5">
          <w:rPr>
            <w:webHidden/>
          </w:rPr>
          <w:t>1</w:t>
        </w:r>
        <w:r w:rsidR="000054B5">
          <w:rPr>
            <w:webHidden/>
          </w:rPr>
          <w:fldChar w:fldCharType="end"/>
        </w:r>
      </w:hyperlink>
    </w:p>
    <w:p w14:paraId="7AB4DD0B" w14:textId="77777777" w:rsidR="000054B5" w:rsidRPr="009D20B9" w:rsidRDefault="00000000">
      <w:pPr>
        <w:pStyle w:val="TM1"/>
        <w:tabs>
          <w:tab w:val="right" w:leader="dot" w:pos="9980"/>
        </w:tabs>
        <w:rPr>
          <w:rFonts w:ascii="Aptos" w:hAnsi="Aptos"/>
          <w:kern w:val="2"/>
          <w:szCs w:val="24"/>
        </w:rPr>
      </w:pPr>
      <w:hyperlink w:anchor="_Toc161062560" w:history="1">
        <w:r w:rsidR="000054B5" w:rsidRPr="00910BDF">
          <w:rPr>
            <w:rStyle w:val="Lienhypertexte"/>
            <w:rFonts w:eastAsia="Arial" w:cs="Arial"/>
            <w:bdr w:val="nil"/>
          </w:rPr>
          <w:t>Exposé de position du FEPH sur la transition des institutions vers les services de proximité et la vie en autonomie pour les personnes porteuses de handicap :</w:t>
        </w:r>
        <w:r w:rsidR="000054B5">
          <w:rPr>
            <w:webHidden/>
          </w:rPr>
          <w:tab/>
        </w:r>
        <w:r w:rsidR="000054B5">
          <w:rPr>
            <w:webHidden/>
          </w:rPr>
          <w:fldChar w:fldCharType="begin"/>
        </w:r>
        <w:r w:rsidR="000054B5">
          <w:rPr>
            <w:webHidden/>
          </w:rPr>
          <w:instrText xml:space="preserve"> PAGEREF _Toc161062560 \h </w:instrText>
        </w:r>
        <w:r w:rsidR="000054B5">
          <w:rPr>
            <w:webHidden/>
          </w:rPr>
        </w:r>
        <w:r w:rsidR="000054B5">
          <w:rPr>
            <w:webHidden/>
          </w:rPr>
          <w:fldChar w:fldCharType="separate"/>
        </w:r>
        <w:r w:rsidR="000054B5">
          <w:rPr>
            <w:webHidden/>
          </w:rPr>
          <w:t>2</w:t>
        </w:r>
        <w:r w:rsidR="000054B5">
          <w:rPr>
            <w:webHidden/>
          </w:rPr>
          <w:fldChar w:fldCharType="end"/>
        </w:r>
      </w:hyperlink>
    </w:p>
    <w:p w14:paraId="0790D9A0" w14:textId="77777777" w:rsidR="000054B5" w:rsidRPr="009D20B9" w:rsidRDefault="00000000">
      <w:pPr>
        <w:pStyle w:val="TM1"/>
        <w:tabs>
          <w:tab w:val="right" w:leader="dot" w:pos="9980"/>
        </w:tabs>
        <w:rPr>
          <w:rFonts w:ascii="Aptos" w:hAnsi="Aptos"/>
          <w:kern w:val="2"/>
          <w:szCs w:val="24"/>
        </w:rPr>
      </w:pPr>
      <w:hyperlink w:anchor="_Toc161062561" w:history="1">
        <w:r w:rsidR="000054B5" w:rsidRPr="00910BDF">
          <w:rPr>
            <w:rStyle w:val="Lienhypertexte"/>
            <w:rFonts w:eastAsia="Arial" w:cs="Arial"/>
            <w:bdr w:val="nil"/>
          </w:rPr>
          <w:t>Quel rôle l’UE et ses États membres doivent-ils jouer ?</w:t>
        </w:r>
        <w:r w:rsidR="000054B5">
          <w:rPr>
            <w:webHidden/>
          </w:rPr>
          <w:tab/>
        </w:r>
        <w:r w:rsidR="000054B5">
          <w:rPr>
            <w:webHidden/>
          </w:rPr>
          <w:fldChar w:fldCharType="begin"/>
        </w:r>
        <w:r w:rsidR="000054B5">
          <w:rPr>
            <w:webHidden/>
          </w:rPr>
          <w:instrText xml:space="preserve"> PAGEREF _Toc161062561 \h </w:instrText>
        </w:r>
        <w:r w:rsidR="000054B5">
          <w:rPr>
            <w:webHidden/>
          </w:rPr>
        </w:r>
        <w:r w:rsidR="000054B5">
          <w:rPr>
            <w:webHidden/>
          </w:rPr>
          <w:fldChar w:fldCharType="separate"/>
        </w:r>
        <w:r w:rsidR="000054B5">
          <w:rPr>
            <w:webHidden/>
          </w:rPr>
          <w:t>2</w:t>
        </w:r>
        <w:r w:rsidR="000054B5">
          <w:rPr>
            <w:webHidden/>
          </w:rPr>
          <w:fldChar w:fldCharType="end"/>
        </w:r>
      </w:hyperlink>
    </w:p>
    <w:p w14:paraId="5AF97A0F" w14:textId="77777777" w:rsidR="000054B5" w:rsidRPr="009D20B9" w:rsidRDefault="00000000">
      <w:pPr>
        <w:pStyle w:val="TM1"/>
        <w:tabs>
          <w:tab w:val="right" w:leader="dot" w:pos="9980"/>
        </w:tabs>
        <w:rPr>
          <w:rFonts w:ascii="Aptos" w:hAnsi="Aptos"/>
          <w:kern w:val="2"/>
          <w:szCs w:val="24"/>
        </w:rPr>
      </w:pPr>
      <w:hyperlink w:anchor="_Toc161062562" w:history="1">
        <w:r w:rsidR="000054B5" w:rsidRPr="00910BDF">
          <w:rPr>
            <w:rStyle w:val="Lienhypertexte"/>
            <w:rFonts w:eastAsia="Arial" w:cs="Arial"/>
            <w:bdr w:val="nil"/>
          </w:rPr>
          <w:t>Un exposé de position du Forum européen des personnes handicapées</w:t>
        </w:r>
        <w:r w:rsidR="000054B5">
          <w:rPr>
            <w:webHidden/>
          </w:rPr>
          <w:tab/>
        </w:r>
        <w:r w:rsidR="000054B5">
          <w:rPr>
            <w:webHidden/>
          </w:rPr>
          <w:fldChar w:fldCharType="begin"/>
        </w:r>
        <w:r w:rsidR="000054B5">
          <w:rPr>
            <w:webHidden/>
          </w:rPr>
          <w:instrText xml:space="preserve"> PAGEREF _Toc161062562 \h </w:instrText>
        </w:r>
        <w:r w:rsidR="000054B5">
          <w:rPr>
            <w:webHidden/>
          </w:rPr>
        </w:r>
        <w:r w:rsidR="000054B5">
          <w:rPr>
            <w:webHidden/>
          </w:rPr>
          <w:fldChar w:fldCharType="separate"/>
        </w:r>
        <w:r w:rsidR="000054B5">
          <w:rPr>
            <w:webHidden/>
          </w:rPr>
          <w:t>2</w:t>
        </w:r>
        <w:r w:rsidR="000054B5">
          <w:rPr>
            <w:webHidden/>
          </w:rPr>
          <w:fldChar w:fldCharType="end"/>
        </w:r>
      </w:hyperlink>
    </w:p>
    <w:p w14:paraId="2FCC6E5D" w14:textId="77777777" w:rsidR="000054B5" w:rsidRPr="009D20B9" w:rsidRDefault="00000000">
      <w:pPr>
        <w:pStyle w:val="TM2"/>
        <w:tabs>
          <w:tab w:val="left" w:pos="720"/>
          <w:tab w:val="right" w:leader="dot" w:pos="9980"/>
        </w:tabs>
        <w:rPr>
          <w:rFonts w:ascii="Aptos" w:hAnsi="Aptos"/>
          <w:kern w:val="2"/>
          <w:szCs w:val="24"/>
        </w:rPr>
      </w:pPr>
      <w:hyperlink w:anchor="_Toc161062563" w:history="1">
        <w:r w:rsidR="000054B5" w:rsidRPr="00910BDF">
          <w:rPr>
            <w:rStyle w:val="Lienhypertexte"/>
            <w:rFonts w:cs="Arial"/>
          </w:rPr>
          <w:t>1.</w:t>
        </w:r>
        <w:r w:rsidR="000054B5" w:rsidRPr="009D20B9">
          <w:rPr>
            <w:rFonts w:ascii="Aptos" w:hAnsi="Aptos"/>
            <w:kern w:val="2"/>
            <w:szCs w:val="24"/>
          </w:rPr>
          <w:tab/>
        </w:r>
        <w:r w:rsidR="000054B5" w:rsidRPr="00910BDF">
          <w:rPr>
            <w:rStyle w:val="Lienhypertexte"/>
            <w:rFonts w:eastAsia="Arial" w:cs="Arial"/>
            <w:bdr w:val="nil"/>
          </w:rPr>
          <w:t>Introduction</w:t>
        </w:r>
        <w:r w:rsidR="000054B5">
          <w:rPr>
            <w:webHidden/>
          </w:rPr>
          <w:tab/>
        </w:r>
        <w:r w:rsidR="000054B5">
          <w:rPr>
            <w:webHidden/>
          </w:rPr>
          <w:fldChar w:fldCharType="begin"/>
        </w:r>
        <w:r w:rsidR="000054B5">
          <w:rPr>
            <w:webHidden/>
          </w:rPr>
          <w:instrText xml:space="preserve"> PAGEREF _Toc161062563 \h </w:instrText>
        </w:r>
        <w:r w:rsidR="000054B5">
          <w:rPr>
            <w:webHidden/>
          </w:rPr>
        </w:r>
        <w:r w:rsidR="000054B5">
          <w:rPr>
            <w:webHidden/>
          </w:rPr>
          <w:fldChar w:fldCharType="separate"/>
        </w:r>
        <w:r w:rsidR="000054B5">
          <w:rPr>
            <w:webHidden/>
          </w:rPr>
          <w:t>6</w:t>
        </w:r>
        <w:r w:rsidR="000054B5">
          <w:rPr>
            <w:webHidden/>
          </w:rPr>
          <w:fldChar w:fldCharType="end"/>
        </w:r>
      </w:hyperlink>
    </w:p>
    <w:p w14:paraId="50B2A240" w14:textId="77777777" w:rsidR="000054B5" w:rsidRPr="009D20B9" w:rsidRDefault="00000000">
      <w:pPr>
        <w:pStyle w:val="TM3"/>
        <w:tabs>
          <w:tab w:val="right" w:leader="dot" w:pos="9980"/>
        </w:tabs>
        <w:rPr>
          <w:rFonts w:ascii="Aptos" w:hAnsi="Aptos"/>
          <w:kern w:val="2"/>
          <w:szCs w:val="24"/>
        </w:rPr>
      </w:pPr>
      <w:hyperlink w:anchor="_Toc161062564" w:history="1">
        <w:r w:rsidR="000054B5" w:rsidRPr="00910BDF">
          <w:rPr>
            <w:rStyle w:val="Lienhypertexte"/>
            <w:rFonts w:eastAsia="Arial" w:cs="Arial"/>
            <w:bdr w:val="nil"/>
          </w:rPr>
          <w:t>Objectif</w:t>
        </w:r>
        <w:r w:rsidR="000054B5">
          <w:rPr>
            <w:webHidden/>
          </w:rPr>
          <w:tab/>
        </w:r>
        <w:r w:rsidR="000054B5">
          <w:rPr>
            <w:webHidden/>
          </w:rPr>
          <w:fldChar w:fldCharType="begin"/>
        </w:r>
        <w:r w:rsidR="000054B5">
          <w:rPr>
            <w:webHidden/>
          </w:rPr>
          <w:instrText xml:space="preserve"> PAGEREF _Toc161062564 \h </w:instrText>
        </w:r>
        <w:r w:rsidR="000054B5">
          <w:rPr>
            <w:webHidden/>
          </w:rPr>
        </w:r>
        <w:r w:rsidR="000054B5">
          <w:rPr>
            <w:webHidden/>
          </w:rPr>
          <w:fldChar w:fldCharType="separate"/>
        </w:r>
        <w:r w:rsidR="000054B5">
          <w:rPr>
            <w:webHidden/>
          </w:rPr>
          <w:t>7</w:t>
        </w:r>
        <w:r w:rsidR="000054B5">
          <w:rPr>
            <w:webHidden/>
          </w:rPr>
          <w:fldChar w:fldCharType="end"/>
        </w:r>
      </w:hyperlink>
    </w:p>
    <w:p w14:paraId="7007617D" w14:textId="77777777" w:rsidR="000054B5" w:rsidRPr="009D20B9" w:rsidRDefault="00000000">
      <w:pPr>
        <w:pStyle w:val="TM3"/>
        <w:tabs>
          <w:tab w:val="right" w:leader="dot" w:pos="9980"/>
        </w:tabs>
        <w:rPr>
          <w:rFonts w:ascii="Aptos" w:hAnsi="Aptos"/>
          <w:kern w:val="2"/>
          <w:szCs w:val="24"/>
        </w:rPr>
      </w:pPr>
      <w:hyperlink w:anchor="_Toc161062565" w:history="1">
        <w:r w:rsidR="000054B5" w:rsidRPr="00910BDF">
          <w:rPr>
            <w:rStyle w:val="Lienhypertexte"/>
            <w:rFonts w:eastAsia="Arial" w:cs="Arial"/>
            <w:bdr w:val="nil"/>
          </w:rPr>
          <w:t>La Convention des Nations Unies relative aux droits des personnes handicapées et l’Observation générale n°5</w:t>
        </w:r>
        <w:r w:rsidR="000054B5">
          <w:rPr>
            <w:webHidden/>
          </w:rPr>
          <w:tab/>
        </w:r>
        <w:r w:rsidR="000054B5">
          <w:rPr>
            <w:webHidden/>
          </w:rPr>
          <w:fldChar w:fldCharType="begin"/>
        </w:r>
        <w:r w:rsidR="000054B5">
          <w:rPr>
            <w:webHidden/>
          </w:rPr>
          <w:instrText xml:space="preserve"> PAGEREF _Toc161062565 \h </w:instrText>
        </w:r>
        <w:r w:rsidR="000054B5">
          <w:rPr>
            <w:webHidden/>
          </w:rPr>
        </w:r>
        <w:r w:rsidR="000054B5">
          <w:rPr>
            <w:webHidden/>
          </w:rPr>
          <w:fldChar w:fldCharType="separate"/>
        </w:r>
        <w:r w:rsidR="000054B5">
          <w:rPr>
            <w:webHidden/>
          </w:rPr>
          <w:t>8</w:t>
        </w:r>
        <w:r w:rsidR="000054B5">
          <w:rPr>
            <w:webHidden/>
          </w:rPr>
          <w:fldChar w:fldCharType="end"/>
        </w:r>
      </w:hyperlink>
    </w:p>
    <w:p w14:paraId="6633FC5B" w14:textId="77777777" w:rsidR="000054B5" w:rsidRPr="009D20B9" w:rsidRDefault="00000000">
      <w:pPr>
        <w:pStyle w:val="TM3"/>
        <w:tabs>
          <w:tab w:val="right" w:leader="dot" w:pos="9980"/>
        </w:tabs>
        <w:rPr>
          <w:rFonts w:ascii="Aptos" w:hAnsi="Aptos"/>
          <w:kern w:val="2"/>
          <w:szCs w:val="24"/>
        </w:rPr>
      </w:pPr>
      <w:hyperlink w:anchor="_Toc161062566" w:history="1">
        <w:r w:rsidR="000054B5" w:rsidRPr="00910BDF">
          <w:rPr>
            <w:rStyle w:val="Lienhypertexte"/>
            <w:rFonts w:eastAsia="Arial" w:cs="Arial"/>
            <w:bdr w:val="nil"/>
          </w:rPr>
          <w:t>Situation actuelle et contexte politique</w:t>
        </w:r>
        <w:r w:rsidR="000054B5">
          <w:rPr>
            <w:webHidden/>
          </w:rPr>
          <w:tab/>
        </w:r>
        <w:r w:rsidR="000054B5">
          <w:rPr>
            <w:webHidden/>
          </w:rPr>
          <w:fldChar w:fldCharType="begin"/>
        </w:r>
        <w:r w:rsidR="000054B5">
          <w:rPr>
            <w:webHidden/>
          </w:rPr>
          <w:instrText xml:space="preserve"> PAGEREF _Toc161062566 \h </w:instrText>
        </w:r>
        <w:r w:rsidR="000054B5">
          <w:rPr>
            <w:webHidden/>
          </w:rPr>
        </w:r>
        <w:r w:rsidR="000054B5">
          <w:rPr>
            <w:webHidden/>
          </w:rPr>
          <w:fldChar w:fldCharType="separate"/>
        </w:r>
        <w:r w:rsidR="000054B5">
          <w:rPr>
            <w:webHidden/>
          </w:rPr>
          <w:t>8</w:t>
        </w:r>
        <w:r w:rsidR="000054B5">
          <w:rPr>
            <w:webHidden/>
          </w:rPr>
          <w:fldChar w:fldCharType="end"/>
        </w:r>
      </w:hyperlink>
    </w:p>
    <w:p w14:paraId="73652A50" w14:textId="77777777" w:rsidR="000054B5" w:rsidRPr="009D20B9" w:rsidRDefault="00000000">
      <w:pPr>
        <w:pStyle w:val="TM2"/>
        <w:tabs>
          <w:tab w:val="left" w:pos="720"/>
          <w:tab w:val="right" w:leader="dot" w:pos="9980"/>
        </w:tabs>
        <w:rPr>
          <w:rFonts w:ascii="Aptos" w:hAnsi="Aptos"/>
          <w:kern w:val="2"/>
          <w:szCs w:val="24"/>
        </w:rPr>
      </w:pPr>
      <w:hyperlink w:anchor="_Toc161062567" w:history="1">
        <w:r w:rsidR="000054B5" w:rsidRPr="00910BDF">
          <w:rPr>
            <w:rStyle w:val="Lienhypertexte"/>
          </w:rPr>
          <w:t>2.</w:t>
        </w:r>
        <w:r w:rsidR="000054B5" w:rsidRPr="009D20B9">
          <w:rPr>
            <w:rFonts w:ascii="Aptos" w:hAnsi="Aptos"/>
            <w:kern w:val="2"/>
            <w:szCs w:val="24"/>
          </w:rPr>
          <w:tab/>
        </w:r>
        <w:r w:rsidR="000054B5" w:rsidRPr="00910BDF">
          <w:rPr>
            <w:rStyle w:val="Lienhypertexte"/>
            <w:rFonts w:eastAsia="Arial" w:cs="Arial"/>
            <w:bdr w:val="nil"/>
          </w:rPr>
          <w:t>Définitions</w:t>
        </w:r>
        <w:r w:rsidR="000054B5">
          <w:rPr>
            <w:webHidden/>
          </w:rPr>
          <w:tab/>
        </w:r>
        <w:r w:rsidR="000054B5">
          <w:rPr>
            <w:webHidden/>
          </w:rPr>
          <w:fldChar w:fldCharType="begin"/>
        </w:r>
        <w:r w:rsidR="000054B5">
          <w:rPr>
            <w:webHidden/>
          </w:rPr>
          <w:instrText xml:space="preserve"> PAGEREF _Toc161062567 \h </w:instrText>
        </w:r>
        <w:r w:rsidR="000054B5">
          <w:rPr>
            <w:webHidden/>
          </w:rPr>
        </w:r>
        <w:r w:rsidR="000054B5">
          <w:rPr>
            <w:webHidden/>
          </w:rPr>
          <w:fldChar w:fldCharType="separate"/>
        </w:r>
        <w:r w:rsidR="000054B5">
          <w:rPr>
            <w:webHidden/>
          </w:rPr>
          <w:t>9</w:t>
        </w:r>
        <w:r w:rsidR="000054B5">
          <w:rPr>
            <w:webHidden/>
          </w:rPr>
          <w:fldChar w:fldCharType="end"/>
        </w:r>
      </w:hyperlink>
    </w:p>
    <w:p w14:paraId="0B15378D" w14:textId="77777777" w:rsidR="000054B5" w:rsidRPr="009D20B9" w:rsidRDefault="00000000">
      <w:pPr>
        <w:pStyle w:val="TM3"/>
        <w:tabs>
          <w:tab w:val="right" w:leader="dot" w:pos="9980"/>
        </w:tabs>
        <w:rPr>
          <w:rFonts w:ascii="Aptos" w:hAnsi="Aptos"/>
          <w:kern w:val="2"/>
          <w:szCs w:val="24"/>
        </w:rPr>
      </w:pPr>
      <w:hyperlink w:anchor="_Toc161062568" w:history="1">
        <w:r w:rsidR="000054B5" w:rsidRPr="00910BDF">
          <w:rPr>
            <w:rStyle w:val="Lienhypertexte"/>
            <w:rFonts w:eastAsia="Arial" w:cs="Arial"/>
            <w:bdr w:val="nil"/>
          </w:rPr>
          <w:t>Vie autonome</w:t>
        </w:r>
        <w:r w:rsidR="000054B5">
          <w:rPr>
            <w:webHidden/>
          </w:rPr>
          <w:tab/>
        </w:r>
        <w:r w:rsidR="000054B5">
          <w:rPr>
            <w:webHidden/>
          </w:rPr>
          <w:fldChar w:fldCharType="begin"/>
        </w:r>
        <w:r w:rsidR="000054B5">
          <w:rPr>
            <w:webHidden/>
          </w:rPr>
          <w:instrText xml:space="preserve"> PAGEREF _Toc161062568 \h </w:instrText>
        </w:r>
        <w:r w:rsidR="000054B5">
          <w:rPr>
            <w:webHidden/>
          </w:rPr>
        </w:r>
        <w:r w:rsidR="000054B5">
          <w:rPr>
            <w:webHidden/>
          </w:rPr>
          <w:fldChar w:fldCharType="separate"/>
        </w:r>
        <w:r w:rsidR="000054B5">
          <w:rPr>
            <w:webHidden/>
          </w:rPr>
          <w:t>9</w:t>
        </w:r>
        <w:r w:rsidR="000054B5">
          <w:rPr>
            <w:webHidden/>
          </w:rPr>
          <w:fldChar w:fldCharType="end"/>
        </w:r>
      </w:hyperlink>
    </w:p>
    <w:p w14:paraId="4800D2B2" w14:textId="77777777" w:rsidR="000054B5" w:rsidRPr="009D20B9" w:rsidRDefault="00000000">
      <w:pPr>
        <w:pStyle w:val="TM3"/>
        <w:tabs>
          <w:tab w:val="right" w:leader="dot" w:pos="9980"/>
        </w:tabs>
        <w:rPr>
          <w:rFonts w:ascii="Aptos" w:hAnsi="Aptos"/>
          <w:kern w:val="2"/>
          <w:szCs w:val="24"/>
        </w:rPr>
      </w:pPr>
      <w:hyperlink w:anchor="_Toc161062569" w:history="1">
        <w:r w:rsidR="000054B5" w:rsidRPr="00910BDF">
          <w:rPr>
            <w:rStyle w:val="Lienhypertexte"/>
            <w:rFonts w:eastAsia="Arial" w:cs="Arial"/>
            <w:bdr w:val="nil"/>
          </w:rPr>
          <w:t>Institutions</w:t>
        </w:r>
        <w:r w:rsidR="000054B5">
          <w:rPr>
            <w:webHidden/>
          </w:rPr>
          <w:tab/>
        </w:r>
        <w:r w:rsidR="000054B5">
          <w:rPr>
            <w:webHidden/>
          </w:rPr>
          <w:fldChar w:fldCharType="begin"/>
        </w:r>
        <w:r w:rsidR="000054B5">
          <w:rPr>
            <w:webHidden/>
          </w:rPr>
          <w:instrText xml:space="preserve"> PAGEREF _Toc161062569 \h </w:instrText>
        </w:r>
        <w:r w:rsidR="000054B5">
          <w:rPr>
            <w:webHidden/>
          </w:rPr>
        </w:r>
        <w:r w:rsidR="000054B5">
          <w:rPr>
            <w:webHidden/>
          </w:rPr>
          <w:fldChar w:fldCharType="separate"/>
        </w:r>
        <w:r w:rsidR="000054B5">
          <w:rPr>
            <w:webHidden/>
          </w:rPr>
          <w:t>10</w:t>
        </w:r>
        <w:r w:rsidR="000054B5">
          <w:rPr>
            <w:webHidden/>
          </w:rPr>
          <w:fldChar w:fldCharType="end"/>
        </w:r>
      </w:hyperlink>
    </w:p>
    <w:p w14:paraId="629FD286" w14:textId="77777777" w:rsidR="000054B5" w:rsidRPr="009D20B9" w:rsidRDefault="00000000">
      <w:pPr>
        <w:pStyle w:val="TM3"/>
        <w:tabs>
          <w:tab w:val="right" w:leader="dot" w:pos="9980"/>
        </w:tabs>
        <w:rPr>
          <w:rFonts w:ascii="Aptos" w:hAnsi="Aptos"/>
          <w:kern w:val="2"/>
          <w:szCs w:val="24"/>
        </w:rPr>
      </w:pPr>
      <w:hyperlink w:anchor="_Toc161062570" w:history="1">
        <w:r w:rsidR="000054B5" w:rsidRPr="00910BDF">
          <w:rPr>
            <w:rStyle w:val="Lienhypertexte"/>
            <w:rFonts w:eastAsia="Arial" w:cs="Arial"/>
            <w:bdr w:val="nil"/>
          </w:rPr>
          <w:t>La désinstitutionnalisation et le passage de l’institution à la vie communautaire</w:t>
        </w:r>
        <w:r w:rsidR="000054B5">
          <w:rPr>
            <w:webHidden/>
          </w:rPr>
          <w:tab/>
        </w:r>
        <w:r w:rsidR="000054B5">
          <w:rPr>
            <w:webHidden/>
          </w:rPr>
          <w:fldChar w:fldCharType="begin"/>
        </w:r>
        <w:r w:rsidR="000054B5">
          <w:rPr>
            <w:webHidden/>
          </w:rPr>
          <w:instrText xml:space="preserve"> PAGEREF _Toc161062570 \h </w:instrText>
        </w:r>
        <w:r w:rsidR="000054B5">
          <w:rPr>
            <w:webHidden/>
          </w:rPr>
        </w:r>
        <w:r w:rsidR="000054B5">
          <w:rPr>
            <w:webHidden/>
          </w:rPr>
          <w:fldChar w:fldCharType="separate"/>
        </w:r>
        <w:r w:rsidR="000054B5">
          <w:rPr>
            <w:webHidden/>
          </w:rPr>
          <w:t>11</w:t>
        </w:r>
        <w:r w:rsidR="000054B5">
          <w:rPr>
            <w:webHidden/>
          </w:rPr>
          <w:fldChar w:fldCharType="end"/>
        </w:r>
      </w:hyperlink>
    </w:p>
    <w:p w14:paraId="285C530C" w14:textId="77777777" w:rsidR="000054B5" w:rsidRPr="009D20B9" w:rsidRDefault="00000000">
      <w:pPr>
        <w:pStyle w:val="TM3"/>
        <w:tabs>
          <w:tab w:val="right" w:leader="dot" w:pos="9980"/>
        </w:tabs>
        <w:rPr>
          <w:rFonts w:ascii="Aptos" w:hAnsi="Aptos"/>
          <w:kern w:val="2"/>
          <w:szCs w:val="24"/>
        </w:rPr>
      </w:pPr>
      <w:hyperlink w:anchor="_Toc161062571" w:history="1">
        <w:r w:rsidR="000054B5" w:rsidRPr="00910BDF">
          <w:rPr>
            <w:rStyle w:val="Lienhypertexte"/>
            <w:rFonts w:eastAsia="Arial" w:cs="Arial"/>
            <w:bdr w:val="nil"/>
          </w:rPr>
          <w:t>Services de proximité</w:t>
        </w:r>
        <w:r w:rsidR="000054B5">
          <w:rPr>
            <w:webHidden/>
          </w:rPr>
          <w:tab/>
        </w:r>
        <w:r w:rsidR="000054B5">
          <w:rPr>
            <w:webHidden/>
          </w:rPr>
          <w:fldChar w:fldCharType="begin"/>
        </w:r>
        <w:r w:rsidR="000054B5">
          <w:rPr>
            <w:webHidden/>
          </w:rPr>
          <w:instrText xml:space="preserve"> PAGEREF _Toc161062571 \h </w:instrText>
        </w:r>
        <w:r w:rsidR="000054B5">
          <w:rPr>
            <w:webHidden/>
          </w:rPr>
        </w:r>
        <w:r w:rsidR="000054B5">
          <w:rPr>
            <w:webHidden/>
          </w:rPr>
          <w:fldChar w:fldCharType="separate"/>
        </w:r>
        <w:r w:rsidR="000054B5">
          <w:rPr>
            <w:webHidden/>
          </w:rPr>
          <w:t>12</w:t>
        </w:r>
        <w:r w:rsidR="000054B5">
          <w:rPr>
            <w:webHidden/>
          </w:rPr>
          <w:fldChar w:fldCharType="end"/>
        </w:r>
      </w:hyperlink>
    </w:p>
    <w:p w14:paraId="78EAAA34" w14:textId="77777777" w:rsidR="000054B5" w:rsidRPr="009D20B9" w:rsidRDefault="00000000">
      <w:pPr>
        <w:pStyle w:val="TM2"/>
        <w:tabs>
          <w:tab w:val="left" w:pos="720"/>
          <w:tab w:val="right" w:leader="dot" w:pos="9980"/>
        </w:tabs>
        <w:rPr>
          <w:rFonts w:ascii="Aptos" w:hAnsi="Aptos"/>
          <w:kern w:val="2"/>
          <w:szCs w:val="24"/>
        </w:rPr>
      </w:pPr>
      <w:hyperlink w:anchor="_Toc161062572" w:history="1">
        <w:r w:rsidR="000054B5" w:rsidRPr="00910BDF">
          <w:rPr>
            <w:rStyle w:val="Lienhypertexte"/>
          </w:rPr>
          <w:t>3.</w:t>
        </w:r>
        <w:r w:rsidR="000054B5" w:rsidRPr="009D20B9">
          <w:rPr>
            <w:rFonts w:ascii="Aptos" w:hAnsi="Aptos"/>
            <w:kern w:val="2"/>
            <w:szCs w:val="24"/>
          </w:rPr>
          <w:tab/>
        </w:r>
        <w:r w:rsidR="000054B5" w:rsidRPr="00910BDF">
          <w:rPr>
            <w:rStyle w:val="Lienhypertexte"/>
            <w:rFonts w:eastAsia="Arial" w:cs="Arial"/>
            <w:bdr w:val="nil"/>
          </w:rPr>
          <w:t>Problèmes de droits de l’Homme rencontrés par les personnes porteuses de handicap</w:t>
        </w:r>
        <w:r w:rsidR="000054B5">
          <w:rPr>
            <w:webHidden/>
          </w:rPr>
          <w:tab/>
        </w:r>
        <w:r w:rsidR="000054B5">
          <w:rPr>
            <w:webHidden/>
          </w:rPr>
          <w:fldChar w:fldCharType="begin"/>
        </w:r>
        <w:r w:rsidR="000054B5">
          <w:rPr>
            <w:webHidden/>
          </w:rPr>
          <w:instrText xml:space="preserve"> PAGEREF _Toc161062572 \h </w:instrText>
        </w:r>
        <w:r w:rsidR="000054B5">
          <w:rPr>
            <w:webHidden/>
          </w:rPr>
        </w:r>
        <w:r w:rsidR="000054B5">
          <w:rPr>
            <w:webHidden/>
          </w:rPr>
          <w:fldChar w:fldCharType="separate"/>
        </w:r>
        <w:r w:rsidR="000054B5">
          <w:rPr>
            <w:webHidden/>
          </w:rPr>
          <w:t>12</w:t>
        </w:r>
        <w:r w:rsidR="000054B5">
          <w:rPr>
            <w:webHidden/>
          </w:rPr>
          <w:fldChar w:fldCharType="end"/>
        </w:r>
      </w:hyperlink>
    </w:p>
    <w:p w14:paraId="5D908B98" w14:textId="77777777" w:rsidR="000054B5" w:rsidRPr="009D20B9" w:rsidRDefault="00000000">
      <w:pPr>
        <w:pStyle w:val="TM3"/>
        <w:tabs>
          <w:tab w:val="right" w:leader="dot" w:pos="9980"/>
        </w:tabs>
        <w:rPr>
          <w:rFonts w:ascii="Aptos" w:hAnsi="Aptos"/>
          <w:kern w:val="2"/>
          <w:szCs w:val="24"/>
        </w:rPr>
      </w:pPr>
      <w:hyperlink w:anchor="_Toc161062573" w:history="1">
        <w:r w:rsidR="000054B5" w:rsidRPr="00910BDF">
          <w:rPr>
            <w:rStyle w:val="Lienhypertexte"/>
            <w:rFonts w:eastAsia="Arial" w:cs="Arial"/>
            <w:bdr w:val="nil"/>
          </w:rPr>
          <w:t>Vie en institution</w:t>
        </w:r>
        <w:r w:rsidR="000054B5">
          <w:rPr>
            <w:webHidden/>
          </w:rPr>
          <w:tab/>
        </w:r>
        <w:r w:rsidR="000054B5">
          <w:rPr>
            <w:webHidden/>
          </w:rPr>
          <w:fldChar w:fldCharType="begin"/>
        </w:r>
        <w:r w:rsidR="000054B5">
          <w:rPr>
            <w:webHidden/>
          </w:rPr>
          <w:instrText xml:space="preserve"> PAGEREF _Toc161062573 \h </w:instrText>
        </w:r>
        <w:r w:rsidR="000054B5">
          <w:rPr>
            <w:webHidden/>
          </w:rPr>
        </w:r>
        <w:r w:rsidR="000054B5">
          <w:rPr>
            <w:webHidden/>
          </w:rPr>
          <w:fldChar w:fldCharType="separate"/>
        </w:r>
        <w:r w:rsidR="000054B5">
          <w:rPr>
            <w:webHidden/>
          </w:rPr>
          <w:t>12</w:t>
        </w:r>
        <w:r w:rsidR="000054B5">
          <w:rPr>
            <w:webHidden/>
          </w:rPr>
          <w:fldChar w:fldCharType="end"/>
        </w:r>
      </w:hyperlink>
    </w:p>
    <w:p w14:paraId="0D48260E" w14:textId="77777777" w:rsidR="000054B5" w:rsidRPr="009D20B9" w:rsidRDefault="00000000">
      <w:pPr>
        <w:pStyle w:val="TM3"/>
        <w:tabs>
          <w:tab w:val="right" w:leader="dot" w:pos="9980"/>
        </w:tabs>
        <w:rPr>
          <w:rFonts w:ascii="Aptos" w:hAnsi="Aptos"/>
          <w:kern w:val="2"/>
          <w:szCs w:val="24"/>
        </w:rPr>
      </w:pPr>
      <w:hyperlink w:anchor="_Toc161062574" w:history="1">
        <w:r w:rsidR="000054B5" w:rsidRPr="00910BDF">
          <w:rPr>
            <w:rStyle w:val="Lienhypertexte"/>
            <w:rFonts w:eastAsia="Arial" w:cs="Arial"/>
            <w:bdr w:val="nil"/>
          </w:rPr>
          <w:t>Vie dans la communauté</w:t>
        </w:r>
        <w:r w:rsidR="000054B5">
          <w:rPr>
            <w:webHidden/>
          </w:rPr>
          <w:tab/>
        </w:r>
        <w:r w:rsidR="000054B5">
          <w:rPr>
            <w:webHidden/>
          </w:rPr>
          <w:fldChar w:fldCharType="begin"/>
        </w:r>
        <w:r w:rsidR="000054B5">
          <w:rPr>
            <w:webHidden/>
          </w:rPr>
          <w:instrText xml:space="preserve"> PAGEREF _Toc161062574 \h </w:instrText>
        </w:r>
        <w:r w:rsidR="000054B5">
          <w:rPr>
            <w:webHidden/>
          </w:rPr>
        </w:r>
        <w:r w:rsidR="000054B5">
          <w:rPr>
            <w:webHidden/>
          </w:rPr>
          <w:fldChar w:fldCharType="separate"/>
        </w:r>
        <w:r w:rsidR="000054B5">
          <w:rPr>
            <w:webHidden/>
          </w:rPr>
          <w:t>13</w:t>
        </w:r>
        <w:r w:rsidR="000054B5">
          <w:rPr>
            <w:webHidden/>
          </w:rPr>
          <w:fldChar w:fldCharType="end"/>
        </w:r>
      </w:hyperlink>
    </w:p>
    <w:p w14:paraId="23E8A6C7" w14:textId="77777777" w:rsidR="000054B5" w:rsidRPr="009D20B9" w:rsidRDefault="00000000">
      <w:pPr>
        <w:pStyle w:val="TM3"/>
        <w:tabs>
          <w:tab w:val="right" w:leader="dot" w:pos="9980"/>
        </w:tabs>
        <w:rPr>
          <w:rFonts w:ascii="Aptos" w:hAnsi="Aptos"/>
          <w:kern w:val="2"/>
          <w:szCs w:val="24"/>
        </w:rPr>
      </w:pPr>
      <w:hyperlink w:anchor="_Toc161062575" w:history="1">
        <w:r w:rsidR="000054B5" w:rsidRPr="00910BDF">
          <w:rPr>
            <w:rStyle w:val="Lienhypertexte"/>
            <w:rFonts w:eastAsia="Arial" w:cs="Arial"/>
            <w:bdr w:val="nil"/>
          </w:rPr>
          <w:t>Enfants porteurs de handicap</w:t>
        </w:r>
        <w:r w:rsidR="000054B5">
          <w:rPr>
            <w:webHidden/>
          </w:rPr>
          <w:tab/>
        </w:r>
        <w:r w:rsidR="000054B5">
          <w:rPr>
            <w:webHidden/>
          </w:rPr>
          <w:fldChar w:fldCharType="begin"/>
        </w:r>
        <w:r w:rsidR="000054B5">
          <w:rPr>
            <w:webHidden/>
          </w:rPr>
          <w:instrText xml:space="preserve"> PAGEREF _Toc161062575 \h </w:instrText>
        </w:r>
        <w:r w:rsidR="000054B5">
          <w:rPr>
            <w:webHidden/>
          </w:rPr>
        </w:r>
        <w:r w:rsidR="000054B5">
          <w:rPr>
            <w:webHidden/>
          </w:rPr>
          <w:fldChar w:fldCharType="separate"/>
        </w:r>
        <w:r w:rsidR="000054B5">
          <w:rPr>
            <w:webHidden/>
          </w:rPr>
          <w:t>14</w:t>
        </w:r>
        <w:r w:rsidR="000054B5">
          <w:rPr>
            <w:webHidden/>
          </w:rPr>
          <w:fldChar w:fldCharType="end"/>
        </w:r>
      </w:hyperlink>
    </w:p>
    <w:p w14:paraId="2F52E2E8" w14:textId="77777777" w:rsidR="000054B5" w:rsidRPr="009D20B9" w:rsidRDefault="00000000">
      <w:pPr>
        <w:pStyle w:val="TM3"/>
        <w:tabs>
          <w:tab w:val="right" w:leader="dot" w:pos="9980"/>
        </w:tabs>
        <w:rPr>
          <w:rFonts w:ascii="Aptos" w:hAnsi="Aptos"/>
          <w:kern w:val="2"/>
          <w:szCs w:val="24"/>
        </w:rPr>
      </w:pPr>
      <w:hyperlink w:anchor="_Toc161062576" w:history="1">
        <w:r w:rsidR="000054B5" w:rsidRPr="00910BDF">
          <w:rPr>
            <w:rStyle w:val="Lienhypertexte"/>
            <w:rFonts w:eastAsia="Arial" w:cs="Arial"/>
            <w:bdr w:val="nil"/>
          </w:rPr>
          <w:t>Drapeaux rouges : attention aux investissements qui perpétuent le placement en institution</w:t>
        </w:r>
        <w:r w:rsidR="000054B5">
          <w:rPr>
            <w:webHidden/>
          </w:rPr>
          <w:tab/>
        </w:r>
        <w:r w:rsidR="000054B5">
          <w:rPr>
            <w:webHidden/>
          </w:rPr>
          <w:fldChar w:fldCharType="begin"/>
        </w:r>
        <w:r w:rsidR="000054B5">
          <w:rPr>
            <w:webHidden/>
          </w:rPr>
          <w:instrText xml:space="preserve"> PAGEREF _Toc161062576 \h </w:instrText>
        </w:r>
        <w:r w:rsidR="000054B5">
          <w:rPr>
            <w:webHidden/>
          </w:rPr>
        </w:r>
        <w:r w:rsidR="000054B5">
          <w:rPr>
            <w:webHidden/>
          </w:rPr>
          <w:fldChar w:fldCharType="separate"/>
        </w:r>
        <w:r w:rsidR="000054B5">
          <w:rPr>
            <w:webHidden/>
          </w:rPr>
          <w:t>15</w:t>
        </w:r>
        <w:r w:rsidR="000054B5">
          <w:rPr>
            <w:webHidden/>
          </w:rPr>
          <w:fldChar w:fldCharType="end"/>
        </w:r>
      </w:hyperlink>
    </w:p>
    <w:p w14:paraId="19D7A41E" w14:textId="77777777" w:rsidR="000054B5" w:rsidRPr="009D20B9" w:rsidRDefault="00000000">
      <w:pPr>
        <w:pStyle w:val="TM2"/>
        <w:tabs>
          <w:tab w:val="left" w:pos="720"/>
          <w:tab w:val="right" w:leader="dot" w:pos="9980"/>
        </w:tabs>
        <w:rPr>
          <w:rFonts w:ascii="Aptos" w:hAnsi="Aptos"/>
          <w:kern w:val="2"/>
          <w:szCs w:val="24"/>
        </w:rPr>
      </w:pPr>
      <w:hyperlink w:anchor="_Toc161062577" w:history="1">
        <w:r w:rsidR="000054B5" w:rsidRPr="00910BDF">
          <w:rPr>
            <w:rStyle w:val="Lienhypertexte"/>
          </w:rPr>
          <w:t>4.</w:t>
        </w:r>
        <w:r w:rsidR="000054B5" w:rsidRPr="009D20B9">
          <w:rPr>
            <w:rFonts w:ascii="Aptos" w:hAnsi="Aptos"/>
            <w:kern w:val="2"/>
            <w:szCs w:val="24"/>
          </w:rPr>
          <w:tab/>
        </w:r>
        <w:r w:rsidR="000054B5" w:rsidRPr="00910BDF">
          <w:rPr>
            <w:rStyle w:val="Lienhypertexte"/>
            <w:rFonts w:eastAsia="Arial" w:cs="Arial"/>
            <w:bdr w:val="nil"/>
            <w:shd w:val="clear" w:color="auto" w:fill="FFFFFF"/>
          </w:rPr>
          <w:t>Préparer la transition des institutions vers une vie en autonomie et l’inclusion dans la communauté</w:t>
        </w:r>
        <w:r w:rsidR="000054B5">
          <w:rPr>
            <w:webHidden/>
          </w:rPr>
          <w:tab/>
        </w:r>
        <w:r w:rsidR="000054B5">
          <w:rPr>
            <w:webHidden/>
          </w:rPr>
          <w:fldChar w:fldCharType="begin"/>
        </w:r>
        <w:r w:rsidR="000054B5">
          <w:rPr>
            <w:webHidden/>
          </w:rPr>
          <w:instrText xml:space="preserve"> PAGEREF _Toc161062577 \h </w:instrText>
        </w:r>
        <w:r w:rsidR="000054B5">
          <w:rPr>
            <w:webHidden/>
          </w:rPr>
        </w:r>
        <w:r w:rsidR="000054B5">
          <w:rPr>
            <w:webHidden/>
          </w:rPr>
          <w:fldChar w:fldCharType="separate"/>
        </w:r>
        <w:r w:rsidR="000054B5">
          <w:rPr>
            <w:webHidden/>
          </w:rPr>
          <w:t>16</w:t>
        </w:r>
        <w:r w:rsidR="000054B5">
          <w:rPr>
            <w:webHidden/>
          </w:rPr>
          <w:fldChar w:fldCharType="end"/>
        </w:r>
      </w:hyperlink>
    </w:p>
    <w:p w14:paraId="00BFD178" w14:textId="77777777" w:rsidR="000054B5" w:rsidRPr="009D20B9" w:rsidRDefault="00000000">
      <w:pPr>
        <w:pStyle w:val="TM3"/>
        <w:tabs>
          <w:tab w:val="right" w:leader="dot" w:pos="9980"/>
        </w:tabs>
        <w:rPr>
          <w:rFonts w:ascii="Aptos" w:hAnsi="Aptos"/>
          <w:kern w:val="2"/>
          <w:szCs w:val="24"/>
        </w:rPr>
      </w:pPr>
      <w:hyperlink w:anchor="_Toc161062578" w:history="1">
        <w:r w:rsidR="000054B5" w:rsidRPr="00910BDF">
          <w:rPr>
            <w:rStyle w:val="Lienhypertexte"/>
            <w:rFonts w:eastAsia="Arial" w:cs="Arial"/>
            <w:bdr w:val="nil"/>
          </w:rPr>
          <w:t>Données ventilées sur les personnes vivant en institution</w:t>
        </w:r>
        <w:r w:rsidR="000054B5">
          <w:rPr>
            <w:webHidden/>
          </w:rPr>
          <w:tab/>
        </w:r>
        <w:r w:rsidR="000054B5">
          <w:rPr>
            <w:webHidden/>
          </w:rPr>
          <w:fldChar w:fldCharType="begin"/>
        </w:r>
        <w:r w:rsidR="000054B5">
          <w:rPr>
            <w:webHidden/>
          </w:rPr>
          <w:instrText xml:space="preserve"> PAGEREF _Toc161062578 \h </w:instrText>
        </w:r>
        <w:r w:rsidR="000054B5">
          <w:rPr>
            <w:webHidden/>
          </w:rPr>
        </w:r>
        <w:r w:rsidR="000054B5">
          <w:rPr>
            <w:webHidden/>
          </w:rPr>
          <w:fldChar w:fldCharType="separate"/>
        </w:r>
        <w:r w:rsidR="000054B5">
          <w:rPr>
            <w:webHidden/>
          </w:rPr>
          <w:t>16</w:t>
        </w:r>
        <w:r w:rsidR="000054B5">
          <w:rPr>
            <w:webHidden/>
          </w:rPr>
          <w:fldChar w:fldCharType="end"/>
        </w:r>
      </w:hyperlink>
    </w:p>
    <w:p w14:paraId="59D38F68" w14:textId="77777777" w:rsidR="000054B5" w:rsidRPr="009D20B9" w:rsidRDefault="00000000">
      <w:pPr>
        <w:pStyle w:val="TM3"/>
        <w:tabs>
          <w:tab w:val="right" w:leader="dot" w:pos="9980"/>
        </w:tabs>
        <w:rPr>
          <w:rFonts w:ascii="Aptos" w:hAnsi="Aptos"/>
          <w:kern w:val="2"/>
          <w:szCs w:val="24"/>
        </w:rPr>
      </w:pPr>
      <w:hyperlink w:anchor="_Toc161062579" w:history="1">
        <w:r w:rsidR="000054B5" w:rsidRPr="00910BDF">
          <w:rPr>
            <w:rStyle w:val="Lienhypertexte"/>
            <w:rFonts w:eastAsia="Arial" w:cs="Arial"/>
            <w:bdr w:val="nil"/>
          </w:rPr>
          <w:t>Objectifs quantitatifs</w:t>
        </w:r>
        <w:r w:rsidR="000054B5">
          <w:rPr>
            <w:webHidden/>
          </w:rPr>
          <w:tab/>
        </w:r>
        <w:r w:rsidR="000054B5">
          <w:rPr>
            <w:webHidden/>
          </w:rPr>
          <w:fldChar w:fldCharType="begin"/>
        </w:r>
        <w:r w:rsidR="000054B5">
          <w:rPr>
            <w:webHidden/>
          </w:rPr>
          <w:instrText xml:space="preserve"> PAGEREF _Toc161062579 \h </w:instrText>
        </w:r>
        <w:r w:rsidR="000054B5">
          <w:rPr>
            <w:webHidden/>
          </w:rPr>
        </w:r>
        <w:r w:rsidR="000054B5">
          <w:rPr>
            <w:webHidden/>
          </w:rPr>
          <w:fldChar w:fldCharType="separate"/>
        </w:r>
        <w:r w:rsidR="000054B5">
          <w:rPr>
            <w:webHidden/>
          </w:rPr>
          <w:t>17</w:t>
        </w:r>
        <w:r w:rsidR="000054B5">
          <w:rPr>
            <w:webHidden/>
          </w:rPr>
          <w:fldChar w:fldCharType="end"/>
        </w:r>
      </w:hyperlink>
    </w:p>
    <w:p w14:paraId="24316612" w14:textId="77777777" w:rsidR="000054B5" w:rsidRPr="009D20B9" w:rsidRDefault="00000000">
      <w:pPr>
        <w:pStyle w:val="TM3"/>
        <w:tabs>
          <w:tab w:val="right" w:leader="dot" w:pos="9980"/>
        </w:tabs>
        <w:rPr>
          <w:rFonts w:ascii="Aptos" w:hAnsi="Aptos"/>
          <w:kern w:val="2"/>
          <w:szCs w:val="24"/>
        </w:rPr>
      </w:pPr>
      <w:hyperlink w:anchor="_Toc161062580" w:history="1">
        <w:r w:rsidR="000054B5" w:rsidRPr="00910BDF">
          <w:rPr>
            <w:rStyle w:val="Lienhypertexte"/>
            <w:rFonts w:eastAsia="Arial" w:cs="Arial"/>
            <w:bdr w:val="nil"/>
          </w:rPr>
          <w:t>Garantie de qualité</w:t>
        </w:r>
        <w:r w:rsidR="000054B5">
          <w:rPr>
            <w:webHidden/>
          </w:rPr>
          <w:tab/>
        </w:r>
        <w:r w:rsidR="000054B5">
          <w:rPr>
            <w:webHidden/>
          </w:rPr>
          <w:fldChar w:fldCharType="begin"/>
        </w:r>
        <w:r w:rsidR="000054B5">
          <w:rPr>
            <w:webHidden/>
          </w:rPr>
          <w:instrText xml:space="preserve"> PAGEREF _Toc161062580 \h </w:instrText>
        </w:r>
        <w:r w:rsidR="000054B5">
          <w:rPr>
            <w:webHidden/>
          </w:rPr>
        </w:r>
        <w:r w:rsidR="000054B5">
          <w:rPr>
            <w:webHidden/>
          </w:rPr>
          <w:fldChar w:fldCharType="separate"/>
        </w:r>
        <w:r w:rsidR="000054B5">
          <w:rPr>
            <w:webHidden/>
          </w:rPr>
          <w:t>17</w:t>
        </w:r>
        <w:r w:rsidR="000054B5">
          <w:rPr>
            <w:webHidden/>
          </w:rPr>
          <w:fldChar w:fldCharType="end"/>
        </w:r>
      </w:hyperlink>
    </w:p>
    <w:p w14:paraId="162584F4" w14:textId="77777777" w:rsidR="000054B5" w:rsidRPr="009D20B9" w:rsidRDefault="00000000">
      <w:pPr>
        <w:pStyle w:val="TM3"/>
        <w:tabs>
          <w:tab w:val="right" w:leader="dot" w:pos="9980"/>
        </w:tabs>
        <w:rPr>
          <w:rFonts w:ascii="Aptos" w:hAnsi="Aptos"/>
          <w:kern w:val="2"/>
          <w:szCs w:val="24"/>
        </w:rPr>
      </w:pPr>
      <w:hyperlink w:anchor="_Toc161062581" w:history="1">
        <w:r w:rsidR="000054B5" w:rsidRPr="00910BDF">
          <w:rPr>
            <w:rStyle w:val="Lienhypertexte"/>
            <w:rFonts w:eastAsia="Arial" w:cs="Arial"/>
            <w:bdr w:val="nil"/>
          </w:rPr>
          <w:t>Systèmes indépendants de surveillance et d’alerte en matière de droits de l’Homme</w:t>
        </w:r>
        <w:r w:rsidR="000054B5">
          <w:rPr>
            <w:webHidden/>
          </w:rPr>
          <w:tab/>
        </w:r>
        <w:r w:rsidR="000054B5">
          <w:rPr>
            <w:webHidden/>
          </w:rPr>
          <w:fldChar w:fldCharType="begin"/>
        </w:r>
        <w:r w:rsidR="000054B5">
          <w:rPr>
            <w:webHidden/>
          </w:rPr>
          <w:instrText xml:space="preserve"> PAGEREF _Toc161062581 \h </w:instrText>
        </w:r>
        <w:r w:rsidR="000054B5">
          <w:rPr>
            <w:webHidden/>
          </w:rPr>
        </w:r>
        <w:r w:rsidR="000054B5">
          <w:rPr>
            <w:webHidden/>
          </w:rPr>
          <w:fldChar w:fldCharType="separate"/>
        </w:r>
        <w:r w:rsidR="000054B5">
          <w:rPr>
            <w:webHidden/>
          </w:rPr>
          <w:t>18</w:t>
        </w:r>
        <w:r w:rsidR="000054B5">
          <w:rPr>
            <w:webHidden/>
          </w:rPr>
          <w:fldChar w:fldCharType="end"/>
        </w:r>
      </w:hyperlink>
    </w:p>
    <w:p w14:paraId="386A31E6" w14:textId="77777777" w:rsidR="000054B5" w:rsidRPr="009D20B9" w:rsidRDefault="00000000">
      <w:pPr>
        <w:pStyle w:val="TM3"/>
        <w:tabs>
          <w:tab w:val="right" w:leader="dot" w:pos="9980"/>
        </w:tabs>
        <w:rPr>
          <w:rFonts w:ascii="Aptos" w:hAnsi="Aptos"/>
          <w:kern w:val="2"/>
          <w:szCs w:val="24"/>
        </w:rPr>
      </w:pPr>
      <w:hyperlink w:anchor="_Toc161062582" w:history="1">
        <w:r w:rsidR="000054B5" w:rsidRPr="00910BDF">
          <w:rPr>
            <w:rStyle w:val="Lienhypertexte"/>
            <w:rFonts w:eastAsia="Arial" w:cs="Arial"/>
            <w:bdr w:val="nil"/>
          </w:rPr>
          <w:t>Sensibilisation aux alternatives</w:t>
        </w:r>
        <w:r w:rsidR="000054B5">
          <w:rPr>
            <w:webHidden/>
          </w:rPr>
          <w:tab/>
        </w:r>
        <w:r w:rsidR="000054B5">
          <w:rPr>
            <w:webHidden/>
          </w:rPr>
          <w:fldChar w:fldCharType="begin"/>
        </w:r>
        <w:r w:rsidR="000054B5">
          <w:rPr>
            <w:webHidden/>
          </w:rPr>
          <w:instrText xml:space="preserve"> PAGEREF _Toc161062582 \h </w:instrText>
        </w:r>
        <w:r w:rsidR="000054B5">
          <w:rPr>
            <w:webHidden/>
          </w:rPr>
        </w:r>
        <w:r w:rsidR="000054B5">
          <w:rPr>
            <w:webHidden/>
          </w:rPr>
          <w:fldChar w:fldCharType="separate"/>
        </w:r>
        <w:r w:rsidR="000054B5">
          <w:rPr>
            <w:webHidden/>
          </w:rPr>
          <w:t>19</w:t>
        </w:r>
        <w:r w:rsidR="000054B5">
          <w:rPr>
            <w:webHidden/>
          </w:rPr>
          <w:fldChar w:fldCharType="end"/>
        </w:r>
      </w:hyperlink>
    </w:p>
    <w:p w14:paraId="5D09134E" w14:textId="77777777" w:rsidR="000054B5" w:rsidRPr="009D20B9" w:rsidRDefault="00000000">
      <w:pPr>
        <w:pStyle w:val="TM3"/>
        <w:tabs>
          <w:tab w:val="right" w:leader="dot" w:pos="9980"/>
        </w:tabs>
        <w:rPr>
          <w:rFonts w:ascii="Aptos" w:hAnsi="Aptos"/>
          <w:kern w:val="2"/>
          <w:szCs w:val="24"/>
        </w:rPr>
      </w:pPr>
      <w:hyperlink w:anchor="_Toc161062583" w:history="1">
        <w:r w:rsidR="000054B5" w:rsidRPr="00910BDF">
          <w:rPr>
            <w:rStyle w:val="Lienhypertexte"/>
            <w:rFonts w:eastAsia="Arial" w:cs="Arial"/>
            <w:bdr w:val="nil"/>
          </w:rPr>
          <w:t>Soutenir les personnes sortant d’institutions</w:t>
        </w:r>
        <w:r w:rsidR="000054B5">
          <w:rPr>
            <w:webHidden/>
          </w:rPr>
          <w:tab/>
        </w:r>
        <w:r w:rsidR="000054B5">
          <w:rPr>
            <w:webHidden/>
          </w:rPr>
          <w:fldChar w:fldCharType="begin"/>
        </w:r>
        <w:r w:rsidR="000054B5">
          <w:rPr>
            <w:webHidden/>
          </w:rPr>
          <w:instrText xml:space="preserve"> PAGEREF _Toc161062583 \h </w:instrText>
        </w:r>
        <w:r w:rsidR="000054B5">
          <w:rPr>
            <w:webHidden/>
          </w:rPr>
        </w:r>
        <w:r w:rsidR="000054B5">
          <w:rPr>
            <w:webHidden/>
          </w:rPr>
          <w:fldChar w:fldCharType="separate"/>
        </w:r>
        <w:r w:rsidR="000054B5">
          <w:rPr>
            <w:webHidden/>
          </w:rPr>
          <w:t>20</w:t>
        </w:r>
        <w:r w:rsidR="000054B5">
          <w:rPr>
            <w:webHidden/>
          </w:rPr>
          <w:fldChar w:fldCharType="end"/>
        </w:r>
      </w:hyperlink>
    </w:p>
    <w:p w14:paraId="40366D81" w14:textId="77777777" w:rsidR="000054B5" w:rsidRPr="009D20B9" w:rsidRDefault="00000000">
      <w:pPr>
        <w:pStyle w:val="TM2"/>
        <w:tabs>
          <w:tab w:val="left" w:pos="720"/>
          <w:tab w:val="right" w:leader="dot" w:pos="9980"/>
        </w:tabs>
        <w:rPr>
          <w:rFonts w:ascii="Aptos" w:hAnsi="Aptos"/>
          <w:kern w:val="2"/>
          <w:szCs w:val="24"/>
        </w:rPr>
      </w:pPr>
      <w:hyperlink w:anchor="_Toc161062584" w:history="1">
        <w:r w:rsidR="000054B5" w:rsidRPr="00910BDF">
          <w:rPr>
            <w:rStyle w:val="Lienhypertexte"/>
          </w:rPr>
          <w:t>5.</w:t>
        </w:r>
        <w:r w:rsidR="000054B5" w:rsidRPr="009D20B9">
          <w:rPr>
            <w:rFonts w:ascii="Aptos" w:hAnsi="Aptos"/>
            <w:kern w:val="2"/>
            <w:szCs w:val="24"/>
          </w:rPr>
          <w:tab/>
        </w:r>
        <w:r w:rsidR="000054B5" w:rsidRPr="00910BDF">
          <w:rPr>
            <w:rStyle w:val="Lienhypertexte"/>
            <w:rFonts w:eastAsia="Arial" w:cs="Arial"/>
            <w:bdr w:val="nil"/>
          </w:rPr>
          <w:t>Favoriser la vie en autonomie et l’inclusion</w:t>
        </w:r>
        <w:r w:rsidR="000054B5">
          <w:rPr>
            <w:webHidden/>
          </w:rPr>
          <w:tab/>
        </w:r>
        <w:r w:rsidR="000054B5">
          <w:rPr>
            <w:webHidden/>
          </w:rPr>
          <w:fldChar w:fldCharType="begin"/>
        </w:r>
        <w:r w:rsidR="000054B5">
          <w:rPr>
            <w:webHidden/>
          </w:rPr>
          <w:instrText xml:space="preserve"> PAGEREF _Toc161062584 \h </w:instrText>
        </w:r>
        <w:r w:rsidR="000054B5">
          <w:rPr>
            <w:webHidden/>
          </w:rPr>
        </w:r>
        <w:r w:rsidR="000054B5">
          <w:rPr>
            <w:webHidden/>
          </w:rPr>
          <w:fldChar w:fldCharType="separate"/>
        </w:r>
        <w:r w:rsidR="000054B5">
          <w:rPr>
            <w:webHidden/>
          </w:rPr>
          <w:t>21</w:t>
        </w:r>
        <w:r w:rsidR="000054B5">
          <w:rPr>
            <w:webHidden/>
          </w:rPr>
          <w:fldChar w:fldCharType="end"/>
        </w:r>
      </w:hyperlink>
    </w:p>
    <w:p w14:paraId="0313C35C" w14:textId="77777777" w:rsidR="000054B5" w:rsidRPr="009D20B9" w:rsidRDefault="00000000">
      <w:pPr>
        <w:pStyle w:val="TM3"/>
        <w:tabs>
          <w:tab w:val="right" w:leader="dot" w:pos="9980"/>
        </w:tabs>
        <w:rPr>
          <w:rFonts w:ascii="Aptos" w:hAnsi="Aptos"/>
          <w:kern w:val="2"/>
          <w:szCs w:val="24"/>
        </w:rPr>
      </w:pPr>
      <w:hyperlink w:anchor="_Toc161062585" w:history="1">
        <w:r w:rsidR="000054B5" w:rsidRPr="00910BDF">
          <w:rPr>
            <w:rStyle w:val="Lienhypertexte"/>
            <w:rFonts w:eastAsia="Arial" w:cs="Arial"/>
            <w:bdr w:val="nil"/>
          </w:rPr>
          <w:t>Logements accessibles et abordables</w:t>
        </w:r>
        <w:r w:rsidR="000054B5">
          <w:rPr>
            <w:webHidden/>
          </w:rPr>
          <w:tab/>
        </w:r>
        <w:r w:rsidR="000054B5">
          <w:rPr>
            <w:webHidden/>
          </w:rPr>
          <w:fldChar w:fldCharType="begin"/>
        </w:r>
        <w:r w:rsidR="000054B5">
          <w:rPr>
            <w:webHidden/>
          </w:rPr>
          <w:instrText xml:space="preserve"> PAGEREF _Toc161062585 \h </w:instrText>
        </w:r>
        <w:r w:rsidR="000054B5">
          <w:rPr>
            <w:webHidden/>
          </w:rPr>
        </w:r>
        <w:r w:rsidR="000054B5">
          <w:rPr>
            <w:webHidden/>
          </w:rPr>
          <w:fldChar w:fldCharType="separate"/>
        </w:r>
        <w:r w:rsidR="000054B5">
          <w:rPr>
            <w:webHidden/>
          </w:rPr>
          <w:t>21</w:t>
        </w:r>
        <w:r w:rsidR="000054B5">
          <w:rPr>
            <w:webHidden/>
          </w:rPr>
          <w:fldChar w:fldCharType="end"/>
        </w:r>
      </w:hyperlink>
    </w:p>
    <w:p w14:paraId="283A5D91" w14:textId="77777777" w:rsidR="000054B5" w:rsidRPr="009D20B9" w:rsidRDefault="00000000">
      <w:pPr>
        <w:pStyle w:val="TM3"/>
        <w:tabs>
          <w:tab w:val="right" w:leader="dot" w:pos="9980"/>
        </w:tabs>
        <w:rPr>
          <w:rFonts w:ascii="Aptos" w:hAnsi="Aptos"/>
          <w:kern w:val="2"/>
          <w:szCs w:val="24"/>
        </w:rPr>
      </w:pPr>
      <w:hyperlink w:anchor="_Toc161062586" w:history="1">
        <w:r w:rsidR="000054B5" w:rsidRPr="00910BDF">
          <w:rPr>
            <w:rStyle w:val="Lienhypertexte"/>
            <w:rFonts w:eastAsia="Arial" w:cs="Arial"/>
            <w:bdr w:val="nil"/>
          </w:rPr>
          <w:t>Modèles de logement alternatifs et aide au logement</w:t>
        </w:r>
        <w:r w:rsidR="000054B5">
          <w:rPr>
            <w:webHidden/>
          </w:rPr>
          <w:tab/>
        </w:r>
        <w:r w:rsidR="000054B5">
          <w:rPr>
            <w:webHidden/>
          </w:rPr>
          <w:fldChar w:fldCharType="begin"/>
        </w:r>
        <w:r w:rsidR="000054B5">
          <w:rPr>
            <w:webHidden/>
          </w:rPr>
          <w:instrText xml:space="preserve"> PAGEREF _Toc161062586 \h </w:instrText>
        </w:r>
        <w:r w:rsidR="000054B5">
          <w:rPr>
            <w:webHidden/>
          </w:rPr>
        </w:r>
        <w:r w:rsidR="000054B5">
          <w:rPr>
            <w:webHidden/>
          </w:rPr>
          <w:fldChar w:fldCharType="separate"/>
        </w:r>
        <w:r w:rsidR="000054B5">
          <w:rPr>
            <w:webHidden/>
          </w:rPr>
          <w:t>22</w:t>
        </w:r>
        <w:r w:rsidR="000054B5">
          <w:rPr>
            <w:webHidden/>
          </w:rPr>
          <w:fldChar w:fldCharType="end"/>
        </w:r>
      </w:hyperlink>
    </w:p>
    <w:p w14:paraId="62243F8B" w14:textId="77777777" w:rsidR="000054B5" w:rsidRPr="009D20B9" w:rsidRDefault="00000000">
      <w:pPr>
        <w:pStyle w:val="TM3"/>
        <w:tabs>
          <w:tab w:val="right" w:leader="dot" w:pos="9980"/>
        </w:tabs>
        <w:rPr>
          <w:rFonts w:ascii="Aptos" w:hAnsi="Aptos"/>
          <w:kern w:val="2"/>
          <w:szCs w:val="24"/>
        </w:rPr>
      </w:pPr>
      <w:hyperlink w:anchor="_Toc161062587" w:history="1">
        <w:r w:rsidR="000054B5" w:rsidRPr="00910BDF">
          <w:rPr>
            <w:rStyle w:val="Lienhypertexte"/>
            <w:rFonts w:eastAsia="Arial" w:cs="Arial"/>
            <w:bdr w:val="nil"/>
          </w:rPr>
          <w:t>Assistance personnelle</w:t>
        </w:r>
        <w:r w:rsidR="000054B5">
          <w:rPr>
            <w:webHidden/>
          </w:rPr>
          <w:tab/>
        </w:r>
        <w:r w:rsidR="000054B5">
          <w:rPr>
            <w:webHidden/>
          </w:rPr>
          <w:fldChar w:fldCharType="begin"/>
        </w:r>
        <w:r w:rsidR="000054B5">
          <w:rPr>
            <w:webHidden/>
          </w:rPr>
          <w:instrText xml:space="preserve"> PAGEREF _Toc161062587 \h </w:instrText>
        </w:r>
        <w:r w:rsidR="000054B5">
          <w:rPr>
            <w:webHidden/>
          </w:rPr>
        </w:r>
        <w:r w:rsidR="000054B5">
          <w:rPr>
            <w:webHidden/>
          </w:rPr>
          <w:fldChar w:fldCharType="separate"/>
        </w:r>
        <w:r w:rsidR="000054B5">
          <w:rPr>
            <w:webHidden/>
          </w:rPr>
          <w:t>23</w:t>
        </w:r>
        <w:r w:rsidR="000054B5">
          <w:rPr>
            <w:webHidden/>
          </w:rPr>
          <w:fldChar w:fldCharType="end"/>
        </w:r>
      </w:hyperlink>
    </w:p>
    <w:p w14:paraId="23A6AD5C" w14:textId="77777777" w:rsidR="000054B5" w:rsidRPr="009D20B9" w:rsidRDefault="00000000">
      <w:pPr>
        <w:pStyle w:val="TM3"/>
        <w:tabs>
          <w:tab w:val="right" w:leader="dot" w:pos="9980"/>
        </w:tabs>
        <w:rPr>
          <w:rFonts w:ascii="Aptos" w:hAnsi="Aptos"/>
          <w:kern w:val="2"/>
          <w:szCs w:val="24"/>
        </w:rPr>
      </w:pPr>
      <w:hyperlink w:anchor="_Toc161062588" w:history="1">
        <w:r w:rsidR="000054B5" w:rsidRPr="00910BDF">
          <w:rPr>
            <w:rStyle w:val="Lienhypertexte"/>
            <w:rFonts w:eastAsia="Arial" w:cs="Arial"/>
            <w:bdr w:val="nil"/>
          </w:rPr>
          <w:t>Formation des travailleurs sociaux et des assistants personnels</w:t>
        </w:r>
        <w:r w:rsidR="000054B5">
          <w:rPr>
            <w:webHidden/>
          </w:rPr>
          <w:tab/>
        </w:r>
        <w:r w:rsidR="000054B5">
          <w:rPr>
            <w:webHidden/>
          </w:rPr>
          <w:fldChar w:fldCharType="begin"/>
        </w:r>
        <w:r w:rsidR="000054B5">
          <w:rPr>
            <w:webHidden/>
          </w:rPr>
          <w:instrText xml:space="preserve"> PAGEREF _Toc161062588 \h </w:instrText>
        </w:r>
        <w:r w:rsidR="000054B5">
          <w:rPr>
            <w:webHidden/>
          </w:rPr>
        </w:r>
        <w:r w:rsidR="000054B5">
          <w:rPr>
            <w:webHidden/>
          </w:rPr>
          <w:fldChar w:fldCharType="separate"/>
        </w:r>
        <w:r w:rsidR="000054B5">
          <w:rPr>
            <w:webHidden/>
          </w:rPr>
          <w:t>24</w:t>
        </w:r>
        <w:r w:rsidR="000054B5">
          <w:rPr>
            <w:webHidden/>
          </w:rPr>
          <w:fldChar w:fldCharType="end"/>
        </w:r>
      </w:hyperlink>
    </w:p>
    <w:p w14:paraId="4C55718C" w14:textId="77777777" w:rsidR="000054B5" w:rsidRPr="009D20B9" w:rsidRDefault="00000000">
      <w:pPr>
        <w:pStyle w:val="TM3"/>
        <w:tabs>
          <w:tab w:val="right" w:leader="dot" w:pos="9980"/>
        </w:tabs>
        <w:rPr>
          <w:rFonts w:ascii="Aptos" w:hAnsi="Aptos"/>
          <w:kern w:val="2"/>
          <w:szCs w:val="24"/>
        </w:rPr>
      </w:pPr>
      <w:hyperlink w:anchor="_Toc161062589" w:history="1">
        <w:r w:rsidR="000054B5" w:rsidRPr="00910BDF">
          <w:rPr>
            <w:rStyle w:val="Lienhypertexte"/>
            <w:rFonts w:eastAsia="Arial" w:cs="Arial"/>
            <w:bdr w:val="nil"/>
          </w:rPr>
          <w:t>Vie en autonomie pour les personnes ayant besoin d’un niveau élevé d’assistance</w:t>
        </w:r>
        <w:r w:rsidR="000054B5">
          <w:rPr>
            <w:webHidden/>
          </w:rPr>
          <w:tab/>
        </w:r>
        <w:r w:rsidR="000054B5">
          <w:rPr>
            <w:webHidden/>
          </w:rPr>
          <w:fldChar w:fldCharType="begin"/>
        </w:r>
        <w:r w:rsidR="000054B5">
          <w:rPr>
            <w:webHidden/>
          </w:rPr>
          <w:instrText xml:space="preserve"> PAGEREF _Toc161062589 \h </w:instrText>
        </w:r>
        <w:r w:rsidR="000054B5">
          <w:rPr>
            <w:webHidden/>
          </w:rPr>
        </w:r>
        <w:r w:rsidR="000054B5">
          <w:rPr>
            <w:webHidden/>
          </w:rPr>
          <w:fldChar w:fldCharType="separate"/>
        </w:r>
        <w:r w:rsidR="000054B5">
          <w:rPr>
            <w:webHidden/>
          </w:rPr>
          <w:t>25</w:t>
        </w:r>
        <w:r w:rsidR="000054B5">
          <w:rPr>
            <w:webHidden/>
          </w:rPr>
          <w:fldChar w:fldCharType="end"/>
        </w:r>
      </w:hyperlink>
    </w:p>
    <w:p w14:paraId="04F1DA82" w14:textId="77777777" w:rsidR="000054B5" w:rsidRPr="009D20B9" w:rsidRDefault="00000000">
      <w:pPr>
        <w:pStyle w:val="TM3"/>
        <w:tabs>
          <w:tab w:val="right" w:leader="dot" w:pos="9980"/>
        </w:tabs>
        <w:rPr>
          <w:rFonts w:ascii="Aptos" w:hAnsi="Aptos"/>
          <w:kern w:val="2"/>
          <w:szCs w:val="24"/>
        </w:rPr>
      </w:pPr>
      <w:hyperlink w:anchor="_Toc161062590" w:history="1">
        <w:r w:rsidR="000054B5" w:rsidRPr="00910BDF">
          <w:rPr>
            <w:rStyle w:val="Lienhypertexte"/>
            <w:rFonts w:eastAsia="Arial" w:cs="Arial"/>
            <w:bdr w:val="nil"/>
          </w:rPr>
          <w:t>Soutien familial et soins informels</w:t>
        </w:r>
        <w:r w:rsidR="000054B5">
          <w:rPr>
            <w:webHidden/>
          </w:rPr>
          <w:tab/>
        </w:r>
        <w:r w:rsidR="000054B5">
          <w:rPr>
            <w:webHidden/>
          </w:rPr>
          <w:fldChar w:fldCharType="begin"/>
        </w:r>
        <w:r w:rsidR="000054B5">
          <w:rPr>
            <w:webHidden/>
          </w:rPr>
          <w:instrText xml:space="preserve"> PAGEREF _Toc161062590 \h </w:instrText>
        </w:r>
        <w:r w:rsidR="000054B5">
          <w:rPr>
            <w:webHidden/>
          </w:rPr>
        </w:r>
        <w:r w:rsidR="000054B5">
          <w:rPr>
            <w:webHidden/>
          </w:rPr>
          <w:fldChar w:fldCharType="separate"/>
        </w:r>
        <w:r w:rsidR="000054B5">
          <w:rPr>
            <w:webHidden/>
          </w:rPr>
          <w:t>26</w:t>
        </w:r>
        <w:r w:rsidR="000054B5">
          <w:rPr>
            <w:webHidden/>
          </w:rPr>
          <w:fldChar w:fldCharType="end"/>
        </w:r>
      </w:hyperlink>
    </w:p>
    <w:p w14:paraId="4D586E1D" w14:textId="77777777" w:rsidR="000054B5" w:rsidRPr="009D20B9" w:rsidRDefault="00000000">
      <w:pPr>
        <w:pStyle w:val="TM3"/>
        <w:tabs>
          <w:tab w:val="right" w:leader="dot" w:pos="9980"/>
        </w:tabs>
        <w:rPr>
          <w:rFonts w:ascii="Aptos" w:hAnsi="Aptos"/>
          <w:kern w:val="2"/>
          <w:szCs w:val="24"/>
        </w:rPr>
      </w:pPr>
      <w:hyperlink w:anchor="_Toc161062591" w:history="1">
        <w:r w:rsidR="000054B5" w:rsidRPr="00910BDF">
          <w:rPr>
            <w:rStyle w:val="Lienhypertexte"/>
            <w:rFonts w:eastAsia="Arial" w:cs="Arial"/>
            <w:bdr w:val="nil"/>
          </w:rPr>
          <w:t>Soutien par les pairs</w:t>
        </w:r>
        <w:r w:rsidR="000054B5">
          <w:rPr>
            <w:webHidden/>
          </w:rPr>
          <w:tab/>
        </w:r>
        <w:r w:rsidR="000054B5">
          <w:rPr>
            <w:webHidden/>
          </w:rPr>
          <w:fldChar w:fldCharType="begin"/>
        </w:r>
        <w:r w:rsidR="000054B5">
          <w:rPr>
            <w:webHidden/>
          </w:rPr>
          <w:instrText xml:space="preserve"> PAGEREF _Toc161062591 \h </w:instrText>
        </w:r>
        <w:r w:rsidR="000054B5">
          <w:rPr>
            <w:webHidden/>
          </w:rPr>
        </w:r>
        <w:r w:rsidR="000054B5">
          <w:rPr>
            <w:webHidden/>
          </w:rPr>
          <w:fldChar w:fldCharType="separate"/>
        </w:r>
        <w:r w:rsidR="000054B5">
          <w:rPr>
            <w:webHidden/>
          </w:rPr>
          <w:t>27</w:t>
        </w:r>
        <w:r w:rsidR="000054B5">
          <w:rPr>
            <w:webHidden/>
          </w:rPr>
          <w:fldChar w:fldCharType="end"/>
        </w:r>
      </w:hyperlink>
    </w:p>
    <w:p w14:paraId="548533EA" w14:textId="77777777" w:rsidR="000054B5" w:rsidRPr="009D20B9" w:rsidRDefault="00000000">
      <w:pPr>
        <w:pStyle w:val="TM3"/>
        <w:tabs>
          <w:tab w:val="right" w:leader="dot" w:pos="9980"/>
        </w:tabs>
        <w:rPr>
          <w:rFonts w:ascii="Aptos" w:hAnsi="Aptos"/>
          <w:kern w:val="2"/>
          <w:szCs w:val="24"/>
        </w:rPr>
      </w:pPr>
      <w:hyperlink w:anchor="_Toc161062592" w:history="1">
        <w:r w:rsidR="000054B5" w:rsidRPr="00910BDF">
          <w:rPr>
            <w:rStyle w:val="Lienhypertexte"/>
            <w:rFonts w:eastAsia="Arial" w:cs="Arial"/>
            <w:bdr w:val="nil"/>
          </w:rPr>
          <w:t>Éviter la solitude</w:t>
        </w:r>
        <w:r w:rsidR="000054B5">
          <w:rPr>
            <w:webHidden/>
          </w:rPr>
          <w:tab/>
        </w:r>
        <w:r w:rsidR="000054B5">
          <w:rPr>
            <w:webHidden/>
          </w:rPr>
          <w:fldChar w:fldCharType="begin"/>
        </w:r>
        <w:r w:rsidR="000054B5">
          <w:rPr>
            <w:webHidden/>
          </w:rPr>
          <w:instrText xml:space="preserve"> PAGEREF _Toc161062592 \h </w:instrText>
        </w:r>
        <w:r w:rsidR="000054B5">
          <w:rPr>
            <w:webHidden/>
          </w:rPr>
        </w:r>
        <w:r w:rsidR="000054B5">
          <w:rPr>
            <w:webHidden/>
          </w:rPr>
          <w:fldChar w:fldCharType="separate"/>
        </w:r>
        <w:r w:rsidR="000054B5">
          <w:rPr>
            <w:webHidden/>
          </w:rPr>
          <w:t>27</w:t>
        </w:r>
        <w:r w:rsidR="000054B5">
          <w:rPr>
            <w:webHidden/>
          </w:rPr>
          <w:fldChar w:fldCharType="end"/>
        </w:r>
      </w:hyperlink>
    </w:p>
    <w:p w14:paraId="152568A2" w14:textId="77777777" w:rsidR="000054B5" w:rsidRPr="009D20B9" w:rsidRDefault="00000000">
      <w:pPr>
        <w:pStyle w:val="TM3"/>
        <w:tabs>
          <w:tab w:val="right" w:leader="dot" w:pos="9980"/>
        </w:tabs>
        <w:rPr>
          <w:rFonts w:ascii="Aptos" w:hAnsi="Aptos"/>
          <w:kern w:val="2"/>
          <w:szCs w:val="24"/>
        </w:rPr>
      </w:pPr>
      <w:hyperlink w:anchor="_Toc161062593" w:history="1">
        <w:r w:rsidR="000054B5" w:rsidRPr="00910BDF">
          <w:rPr>
            <w:rStyle w:val="Lienhypertexte"/>
            <w:rFonts w:eastAsia="Arial" w:cs="Arial"/>
            <w:bdr w:val="nil"/>
          </w:rPr>
          <w:t>Accès aux technologies d’assistance et autres aides techniques</w:t>
        </w:r>
        <w:r w:rsidR="000054B5">
          <w:rPr>
            <w:webHidden/>
          </w:rPr>
          <w:tab/>
        </w:r>
        <w:r w:rsidR="000054B5">
          <w:rPr>
            <w:webHidden/>
          </w:rPr>
          <w:fldChar w:fldCharType="begin"/>
        </w:r>
        <w:r w:rsidR="000054B5">
          <w:rPr>
            <w:webHidden/>
          </w:rPr>
          <w:instrText xml:space="preserve"> PAGEREF _Toc161062593 \h </w:instrText>
        </w:r>
        <w:r w:rsidR="000054B5">
          <w:rPr>
            <w:webHidden/>
          </w:rPr>
        </w:r>
        <w:r w:rsidR="000054B5">
          <w:rPr>
            <w:webHidden/>
          </w:rPr>
          <w:fldChar w:fldCharType="separate"/>
        </w:r>
        <w:r w:rsidR="000054B5">
          <w:rPr>
            <w:webHidden/>
          </w:rPr>
          <w:t>28</w:t>
        </w:r>
        <w:r w:rsidR="000054B5">
          <w:rPr>
            <w:webHidden/>
          </w:rPr>
          <w:fldChar w:fldCharType="end"/>
        </w:r>
      </w:hyperlink>
    </w:p>
    <w:p w14:paraId="572BD369" w14:textId="77777777" w:rsidR="000054B5" w:rsidRPr="009D20B9" w:rsidRDefault="00000000">
      <w:pPr>
        <w:pStyle w:val="TM3"/>
        <w:tabs>
          <w:tab w:val="right" w:leader="dot" w:pos="9980"/>
        </w:tabs>
        <w:rPr>
          <w:rFonts w:ascii="Aptos" w:hAnsi="Aptos"/>
          <w:kern w:val="2"/>
          <w:szCs w:val="24"/>
        </w:rPr>
      </w:pPr>
      <w:hyperlink w:anchor="_Toc161062594" w:history="1">
        <w:r w:rsidR="000054B5" w:rsidRPr="00910BDF">
          <w:rPr>
            <w:rStyle w:val="Lienhypertexte"/>
            <w:rFonts w:eastAsia="Arial" w:cs="Arial"/>
            <w:bdr w:val="nil"/>
          </w:rPr>
          <w:t>Action préventive</w:t>
        </w:r>
        <w:r w:rsidR="000054B5">
          <w:rPr>
            <w:webHidden/>
          </w:rPr>
          <w:tab/>
        </w:r>
        <w:r w:rsidR="000054B5">
          <w:rPr>
            <w:webHidden/>
          </w:rPr>
          <w:fldChar w:fldCharType="begin"/>
        </w:r>
        <w:r w:rsidR="000054B5">
          <w:rPr>
            <w:webHidden/>
          </w:rPr>
          <w:instrText xml:space="preserve"> PAGEREF _Toc161062594 \h </w:instrText>
        </w:r>
        <w:r w:rsidR="000054B5">
          <w:rPr>
            <w:webHidden/>
          </w:rPr>
        </w:r>
        <w:r w:rsidR="000054B5">
          <w:rPr>
            <w:webHidden/>
          </w:rPr>
          <w:fldChar w:fldCharType="separate"/>
        </w:r>
        <w:r w:rsidR="000054B5">
          <w:rPr>
            <w:webHidden/>
          </w:rPr>
          <w:t>29</w:t>
        </w:r>
        <w:r w:rsidR="000054B5">
          <w:rPr>
            <w:webHidden/>
          </w:rPr>
          <w:fldChar w:fldCharType="end"/>
        </w:r>
      </w:hyperlink>
    </w:p>
    <w:p w14:paraId="475A44B3" w14:textId="77777777" w:rsidR="000054B5" w:rsidRPr="009D20B9" w:rsidRDefault="00000000">
      <w:pPr>
        <w:pStyle w:val="TM3"/>
        <w:tabs>
          <w:tab w:val="right" w:leader="dot" w:pos="9980"/>
        </w:tabs>
        <w:rPr>
          <w:rFonts w:ascii="Aptos" w:hAnsi="Aptos"/>
          <w:kern w:val="2"/>
          <w:szCs w:val="24"/>
        </w:rPr>
      </w:pPr>
      <w:hyperlink w:anchor="_Toc161062595" w:history="1">
        <w:r w:rsidR="000054B5" w:rsidRPr="00910BDF">
          <w:rPr>
            <w:rStyle w:val="Lienhypertexte"/>
            <w:rFonts w:eastAsia="Arial" w:cs="Arial"/>
            <w:bdr w:val="nil"/>
          </w:rPr>
          <w:t>Des systèmes éducatifs qui préparent mieux les jeunes à l’indépendance</w:t>
        </w:r>
        <w:r w:rsidR="000054B5">
          <w:rPr>
            <w:webHidden/>
          </w:rPr>
          <w:tab/>
        </w:r>
        <w:r w:rsidR="000054B5">
          <w:rPr>
            <w:webHidden/>
          </w:rPr>
          <w:fldChar w:fldCharType="begin"/>
        </w:r>
        <w:r w:rsidR="000054B5">
          <w:rPr>
            <w:webHidden/>
          </w:rPr>
          <w:instrText xml:space="preserve"> PAGEREF _Toc161062595 \h </w:instrText>
        </w:r>
        <w:r w:rsidR="000054B5">
          <w:rPr>
            <w:webHidden/>
          </w:rPr>
        </w:r>
        <w:r w:rsidR="000054B5">
          <w:rPr>
            <w:webHidden/>
          </w:rPr>
          <w:fldChar w:fldCharType="separate"/>
        </w:r>
        <w:r w:rsidR="000054B5">
          <w:rPr>
            <w:webHidden/>
          </w:rPr>
          <w:t>30</w:t>
        </w:r>
        <w:r w:rsidR="000054B5">
          <w:rPr>
            <w:webHidden/>
          </w:rPr>
          <w:fldChar w:fldCharType="end"/>
        </w:r>
      </w:hyperlink>
    </w:p>
    <w:p w14:paraId="6D0A73E5" w14:textId="77777777" w:rsidR="000054B5" w:rsidRPr="009D20B9" w:rsidRDefault="00000000">
      <w:pPr>
        <w:pStyle w:val="TM3"/>
        <w:tabs>
          <w:tab w:val="right" w:leader="dot" w:pos="9980"/>
        </w:tabs>
        <w:rPr>
          <w:rFonts w:ascii="Aptos" w:hAnsi="Aptos"/>
          <w:kern w:val="2"/>
          <w:szCs w:val="24"/>
        </w:rPr>
      </w:pPr>
      <w:hyperlink w:anchor="_Toc161062596" w:history="1">
        <w:r w:rsidR="000054B5" w:rsidRPr="00910BDF">
          <w:rPr>
            <w:rStyle w:val="Lienhypertexte"/>
            <w:rFonts w:eastAsia="Arial" w:cs="Arial"/>
            <w:bdr w:val="nil"/>
          </w:rPr>
          <w:t>Accessibilité financière et disponibilité des services de soutien</w:t>
        </w:r>
        <w:r w:rsidR="000054B5">
          <w:rPr>
            <w:webHidden/>
          </w:rPr>
          <w:tab/>
        </w:r>
        <w:r w:rsidR="000054B5">
          <w:rPr>
            <w:webHidden/>
          </w:rPr>
          <w:fldChar w:fldCharType="begin"/>
        </w:r>
        <w:r w:rsidR="000054B5">
          <w:rPr>
            <w:webHidden/>
          </w:rPr>
          <w:instrText xml:space="preserve"> PAGEREF _Toc161062596 \h </w:instrText>
        </w:r>
        <w:r w:rsidR="000054B5">
          <w:rPr>
            <w:webHidden/>
          </w:rPr>
        </w:r>
        <w:r w:rsidR="000054B5">
          <w:rPr>
            <w:webHidden/>
          </w:rPr>
          <w:fldChar w:fldCharType="separate"/>
        </w:r>
        <w:r w:rsidR="000054B5">
          <w:rPr>
            <w:webHidden/>
          </w:rPr>
          <w:t>31</w:t>
        </w:r>
        <w:r w:rsidR="000054B5">
          <w:rPr>
            <w:webHidden/>
          </w:rPr>
          <w:fldChar w:fldCharType="end"/>
        </w:r>
      </w:hyperlink>
    </w:p>
    <w:p w14:paraId="450D1579" w14:textId="77777777" w:rsidR="000054B5" w:rsidRPr="009D20B9" w:rsidRDefault="00000000">
      <w:pPr>
        <w:pStyle w:val="TM2"/>
        <w:tabs>
          <w:tab w:val="left" w:pos="720"/>
          <w:tab w:val="right" w:leader="dot" w:pos="9980"/>
        </w:tabs>
        <w:rPr>
          <w:rFonts w:ascii="Aptos" w:hAnsi="Aptos"/>
          <w:kern w:val="2"/>
          <w:szCs w:val="24"/>
        </w:rPr>
      </w:pPr>
      <w:hyperlink w:anchor="_Toc161062597" w:history="1">
        <w:r w:rsidR="000054B5" w:rsidRPr="00910BDF">
          <w:rPr>
            <w:rStyle w:val="Lienhypertexte"/>
          </w:rPr>
          <w:t>6.</w:t>
        </w:r>
        <w:r w:rsidR="000054B5" w:rsidRPr="009D20B9">
          <w:rPr>
            <w:rFonts w:ascii="Aptos" w:hAnsi="Aptos"/>
            <w:kern w:val="2"/>
            <w:szCs w:val="24"/>
          </w:rPr>
          <w:tab/>
        </w:r>
        <w:r w:rsidR="000054B5" w:rsidRPr="00910BDF">
          <w:rPr>
            <w:rStyle w:val="Lienhypertexte"/>
            <w:rFonts w:eastAsia="Arial" w:cs="Arial"/>
            <w:bdr w:val="nil"/>
          </w:rPr>
          <w:t>Créer des communautés inclusives</w:t>
        </w:r>
        <w:r w:rsidR="000054B5">
          <w:rPr>
            <w:webHidden/>
          </w:rPr>
          <w:tab/>
        </w:r>
        <w:r w:rsidR="000054B5">
          <w:rPr>
            <w:webHidden/>
          </w:rPr>
          <w:fldChar w:fldCharType="begin"/>
        </w:r>
        <w:r w:rsidR="000054B5">
          <w:rPr>
            <w:webHidden/>
          </w:rPr>
          <w:instrText xml:space="preserve"> PAGEREF _Toc161062597 \h </w:instrText>
        </w:r>
        <w:r w:rsidR="000054B5">
          <w:rPr>
            <w:webHidden/>
          </w:rPr>
        </w:r>
        <w:r w:rsidR="000054B5">
          <w:rPr>
            <w:webHidden/>
          </w:rPr>
          <w:fldChar w:fldCharType="separate"/>
        </w:r>
        <w:r w:rsidR="000054B5">
          <w:rPr>
            <w:webHidden/>
          </w:rPr>
          <w:t>31</w:t>
        </w:r>
        <w:r w:rsidR="000054B5">
          <w:rPr>
            <w:webHidden/>
          </w:rPr>
          <w:fldChar w:fldCharType="end"/>
        </w:r>
      </w:hyperlink>
    </w:p>
    <w:p w14:paraId="21FD9169" w14:textId="77777777" w:rsidR="000054B5" w:rsidRPr="009D20B9" w:rsidRDefault="00000000">
      <w:pPr>
        <w:pStyle w:val="TM3"/>
        <w:tabs>
          <w:tab w:val="right" w:leader="dot" w:pos="9980"/>
        </w:tabs>
        <w:rPr>
          <w:rFonts w:ascii="Aptos" w:hAnsi="Aptos"/>
          <w:kern w:val="2"/>
          <w:szCs w:val="24"/>
        </w:rPr>
      </w:pPr>
      <w:hyperlink w:anchor="_Toc161062598" w:history="1">
        <w:r w:rsidR="000054B5" w:rsidRPr="00910BDF">
          <w:rPr>
            <w:rStyle w:val="Lienhypertexte"/>
            <w:rFonts w:eastAsia="Arial" w:cs="Arial"/>
            <w:bdr w:val="nil"/>
          </w:rPr>
          <w:t>Communautés accessibles</w:t>
        </w:r>
        <w:r w:rsidR="000054B5">
          <w:rPr>
            <w:webHidden/>
          </w:rPr>
          <w:tab/>
        </w:r>
        <w:r w:rsidR="000054B5">
          <w:rPr>
            <w:webHidden/>
          </w:rPr>
          <w:fldChar w:fldCharType="begin"/>
        </w:r>
        <w:r w:rsidR="000054B5">
          <w:rPr>
            <w:webHidden/>
          </w:rPr>
          <w:instrText xml:space="preserve"> PAGEREF _Toc161062598 \h </w:instrText>
        </w:r>
        <w:r w:rsidR="000054B5">
          <w:rPr>
            <w:webHidden/>
          </w:rPr>
        </w:r>
        <w:r w:rsidR="000054B5">
          <w:rPr>
            <w:webHidden/>
          </w:rPr>
          <w:fldChar w:fldCharType="separate"/>
        </w:r>
        <w:r w:rsidR="000054B5">
          <w:rPr>
            <w:webHidden/>
          </w:rPr>
          <w:t>31</w:t>
        </w:r>
        <w:r w:rsidR="000054B5">
          <w:rPr>
            <w:webHidden/>
          </w:rPr>
          <w:fldChar w:fldCharType="end"/>
        </w:r>
      </w:hyperlink>
    </w:p>
    <w:p w14:paraId="17C02371" w14:textId="77777777" w:rsidR="000054B5" w:rsidRPr="009D20B9" w:rsidRDefault="00000000">
      <w:pPr>
        <w:pStyle w:val="TM3"/>
        <w:tabs>
          <w:tab w:val="right" w:leader="dot" w:pos="9980"/>
        </w:tabs>
        <w:rPr>
          <w:rFonts w:ascii="Aptos" w:hAnsi="Aptos"/>
          <w:kern w:val="2"/>
          <w:szCs w:val="24"/>
        </w:rPr>
      </w:pPr>
      <w:hyperlink w:anchor="_Toc161062599" w:history="1">
        <w:r w:rsidR="000054B5" w:rsidRPr="00910BDF">
          <w:rPr>
            <w:rStyle w:val="Lienhypertexte"/>
            <w:rFonts w:eastAsia="Arial" w:cs="Arial"/>
            <w:bdr w:val="nil"/>
          </w:rPr>
          <w:t>Accès à l’emploi, à l’éducation et aux soins de santé</w:t>
        </w:r>
        <w:r w:rsidR="000054B5">
          <w:rPr>
            <w:webHidden/>
          </w:rPr>
          <w:tab/>
        </w:r>
        <w:r w:rsidR="000054B5">
          <w:rPr>
            <w:webHidden/>
          </w:rPr>
          <w:fldChar w:fldCharType="begin"/>
        </w:r>
        <w:r w:rsidR="000054B5">
          <w:rPr>
            <w:webHidden/>
          </w:rPr>
          <w:instrText xml:space="preserve"> PAGEREF _Toc161062599 \h </w:instrText>
        </w:r>
        <w:r w:rsidR="000054B5">
          <w:rPr>
            <w:webHidden/>
          </w:rPr>
        </w:r>
        <w:r w:rsidR="000054B5">
          <w:rPr>
            <w:webHidden/>
          </w:rPr>
          <w:fldChar w:fldCharType="separate"/>
        </w:r>
        <w:r w:rsidR="000054B5">
          <w:rPr>
            <w:webHidden/>
          </w:rPr>
          <w:t>32</w:t>
        </w:r>
        <w:r w:rsidR="000054B5">
          <w:rPr>
            <w:webHidden/>
          </w:rPr>
          <w:fldChar w:fldCharType="end"/>
        </w:r>
      </w:hyperlink>
    </w:p>
    <w:p w14:paraId="411C65AA" w14:textId="77777777" w:rsidR="000054B5" w:rsidRPr="009D20B9" w:rsidRDefault="00000000">
      <w:pPr>
        <w:pStyle w:val="TM3"/>
        <w:tabs>
          <w:tab w:val="right" w:leader="dot" w:pos="9980"/>
        </w:tabs>
        <w:rPr>
          <w:rFonts w:ascii="Aptos" w:hAnsi="Aptos"/>
          <w:kern w:val="2"/>
          <w:szCs w:val="24"/>
        </w:rPr>
      </w:pPr>
      <w:hyperlink w:anchor="_Toc161062600" w:history="1">
        <w:r w:rsidR="000054B5" w:rsidRPr="00910BDF">
          <w:rPr>
            <w:rStyle w:val="Lienhypertexte"/>
            <w:rFonts w:eastAsia="Arial" w:cs="Arial"/>
            <w:bdr w:val="nil"/>
          </w:rPr>
          <w:t>Culture et loisirs</w:t>
        </w:r>
        <w:r w:rsidR="000054B5">
          <w:rPr>
            <w:webHidden/>
          </w:rPr>
          <w:tab/>
        </w:r>
        <w:r w:rsidR="000054B5">
          <w:rPr>
            <w:webHidden/>
          </w:rPr>
          <w:fldChar w:fldCharType="begin"/>
        </w:r>
        <w:r w:rsidR="000054B5">
          <w:rPr>
            <w:webHidden/>
          </w:rPr>
          <w:instrText xml:space="preserve"> PAGEREF _Toc161062600 \h </w:instrText>
        </w:r>
        <w:r w:rsidR="000054B5">
          <w:rPr>
            <w:webHidden/>
          </w:rPr>
        </w:r>
        <w:r w:rsidR="000054B5">
          <w:rPr>
            <w:webHidden/>
          </w:rPr>
          <w:fldChar w:fldCharType="separate"/>
        </w:r>
        <w:r w:rsidR="000054B5">
          <w:rPr>
            <w:webHidden/>
          </w:rPr>
          <w:t>33</w:t>
        </w:r>
        <w:r w:rsidR="000054B5">
          <w:rPr>
            <w:webHidden/>
          </w:rPr>
          <w:fldChar w:fldCharType="end"/>
        </w:r>
      </w:hyperlink>
    </w:p>
    <w:p w14:paraId="79750CC3" w14:textId="77777777" w:rsidR="000054B5" w:rsidRPr="009D20B9" w:rsidRDefault="00000000">
      <w:pPr>
        <w:pStyle w:val="TM2"/>
        <w:tabs>
          <w:tab w:val="left" w:pos="720"/>
          <w:tab w:val="right" w:leader="dot" w:pos="9980"/>
        </w:tabs>
        <w:rPr>
          <w:rFonts w:ascii="Aptos" w:hAnsi="Aptos"/>
          <w:kern w:val="2"/>
          <w:szCs w:val="24"/>
        </w:rPr>
      </w:pPr>
      <w:hyperlink w:anchor="_Toc161062601" w:history="1">
        <w:r w:rsidR="000054B5" w:rsidRPr="00910BDF">
          <w:rPr>
            <w:rStyle w:val="Lienhypertexte"/>
          </w:rPr>
          <w:t>7.</w:t>
        </w:r>
        <w:r w:rsidR="000054B5" w:rsidRPr="009D20B9">
          <w:rPr>
            <w:rFonts w:ascii="Aptos" w:hAnsi="Aptos"/>
            <w:kern w:val="2"/>
            <w:szCs w:val="24"/>
          </w:rPr>
          <w:tab/>
        </w:r>
        <w:r w:rsidR="000054B5" w:rsidRPr="00910BDF">
          <w:rPr>
            <w:rStyle w:val="Lienhypertexte"/>
            <w:rFonts w:eastAsia="Arial" w:cs="Arial"/>
            <w:bdr w:val="nil"/>
          </w:rPr>
          <w:t>Éléments transversaux</w:t>
        </w:r>
        <w:r w:rsidR="000054B5">
          <w:rPr>
            <w:webHidden/>
          </w:rPr>
          <w:tab/>
        </w:r>
        <w:r w:rsidR="000054B5">
          <w:rPr>
            <w:webHidden/>
          </w:rPr>
          <w:fldChar w:fldCharType="begin"/>
        </w:r>
        <w:r w:rsidR="000054B5">
          <w:rPr>
            <w:webHidden/>
          </w:rPr>
          <w:instrText xml:space="preserve"> PAGEREF _Toc161062601 \h </w:instrText>
        </w:r>
        <w:r w:rsidR="000054B5">
          <w:rPr>
            <w:webHidden/>
          </w:rPr>
        </w:r>
        <w:r w:rsidR="000054B5">
          <w:rPr>
            <w:webHidden/>
          </w:rPr>
          <w:fldChar w:fldCharType="separate"/>
        </w:r>
        <w:r w:rsidR="000054B5">
          <w:rPr>
            <w:webHidden/>
          </w:rPr>
          <w:t>34</w:t>
        </w:r>
        <w:r w:rsidR="000054B5">
          <w:rPr>
            <w:webHidden/>
          </w:rPr>
          <w:fldChar w:fldCharType="end"/>
        </w:r>
      </w:hyperlink>
    </w:p>
    <w:p w14:paraId="1A778529" w14:textId="77777777" w:rsidR="000054B5" w:rsidRPr="009D20B9" w:rsidRDefault="00000000">
      <w:pPr>
        <w:pStyle w:val="TM3"/>
        <w:tabs>
          <w:tab w:val="right" w:leader="dot" w:pos="9980"/>
        </w:tabs>
        <w:rPr>
          <w:rFonts w:ascii="Aptos" w:hAnsi="Aptos"/>
          <w:kern w:val="2"/>
          <w:szCs w:val="24"/>
        </w:rPr>
      </w:pPr>
      <w:hyperlink w:anchor="_Toc161062602" w:history="1">
        <w:r w:rsidR="000054B5" w:rsidRPr="00910BDF">
          <w:rPr>
            <w:rStyle w:val="Lienhypertexte"/>
            <w:rFonts w:eastAsia="Arial" w:cs="Arial"/>
            <w:bdr w:val="nil"/>
          </w:rPr>
          <w:t>Stratégies et plans d’action</w:t>
        </w:r>
        <w:r w:rsidR="000054B5">
          <w:rPr>
            <w:webHidden/>
          </w:rPr>
          <w:tab/>
        </w:r>
        <w:r w:rsidR="000054B5">
          <w:rPr>
            <w:webHidden/>
          </w:rPr>
          <w:fldChar w:fldCharType="begin"/>
        </w:r>
        <w:r w:rsidR="000054B5">
          <w:rPr>
            <w:webHidden/>
          </w:rPr>
          <w:instrText xml:space="preserve"> PAGEREF _Toc161062602 \h </w:instrText>
        </w:r>
        <w:r w:rsidR="000054B5">
          <w:rPr>
            <w:webHidden/>
          </w:rPr>
        </w:r>
        <w:r w:rsidR="000054B5">
          <w:rPr>
            <w:webHidden/>
          </w:rPr>
          <w:fldChar w:fldCharType="separate"/>
        </w:r>
        <w:r w:rsidR="000054B5">
          <w:rPr>
            <w:webHidden/>
          </w:rPr>
          <w:t>34</w:t>
        </w:r>
        <w:r w:rsidR="000054B5">
          <w:rPr>
            <w:webHidden/>
          </w:rPr>
          <w:fldChar w:fldCharType="end"/>
        </w:r>
      </w:hyperlink>
    </w:p>
    <w:p w14:paraId="763C3428" w14:textId="77777777" w:rsidR="000054B5" w:rsidRPr="009D20B9" w:rsidRDefault="00000000">
      <w:pPr>
        <w:pStyle w:val="TM3"/>
        <w:tabs>
          <w:tab w:val="right" w:leader="dot" w:pos="9980"/>
        </w:tabs>
        <w:rPr>
          <w:rFonts w:ascii="Aptos" w:hAnsi="Aptos"/>
          <w:kern w:val="2"/>
          <w:szCs w:val="24"/>
        </w:rPr>
      </w:pPr>
      <w:hyperlink w:anchor="_Toc161062603" w:history="1">
        <w:r w:rsidR="000054B5" w:rsidRPr="00910BDF">
          <w:rPr>
            <w:rStyle w:val="Lienhypertexte"/>
            <w:rFonts w:eastAsia="Arial" w:cs="Arial"/>
            <w:bdr w:val="nil"/>
          </w:rPr>
          <w:t>Financement</w:t>
        </w:r>
        <w:r w:rsidR="000054B5">
          <w:rPr>
            <w:webHidden/>
          </w:rPr>
          <w:tab/>
        </w:r>
        <w:r w:rsidR="000054B5">
          <w:rPr>
            <w:webHidden/>
          </w:rPr>
          <w:fldChar w:fldCharType="begin"/>
        </w:r>
        <w:r w:rsidR="000054B5">
          <w:rPr>
            <w:webHidden/>
          </w:rPr>
          <w:instrText xml:space="preserve"> PAGEREF _Toc161062603 \h </w:instrText>
        </w:r>
        <w:r w:rsidR="000054B5">
          <w:rPr>
            <w:webHidden/>
          </w:rPr>
        </w:r>
        <w:r w:rsidR="000054B5">
          <w:rPr>
            <w:webHidden/>
          </w:rPr>
          <w:fldChar w:fldCharType="separate"/>
        </w:r>
        <w:r w:rsidR="000054B5">
          <w:rPr>
            <w:webHidden/>
          </w:rPr>
          <w:t>34</w:t>
        </w:r>
        <w:r w:rsidR="000054B5">
          <w:rPr>
            <w:webHidden/>
          </w:rPr>
          <w:fldChar w:fldCharType="end"/>
        </w:r>
      </w:hyperlink>
    </w:p>
    <w:p w14:paraId="7EA9E08F" w14:textId="77777777" w:rsidR="000054B5" w:rsidRPr="009D20B9" w:rsidRDefault="00000000">
      <w:pPr>
        <w:pStyle w:val="TM3"/>
        <w:tabs>
          <w:tab w:val="right" w:leader="dot" w:pos="9980"/>
        </w:tabs>
        <w:rPr>
          <w:rFonts w:ascii="Aptos" w:hAnsi="Aptos"/>
          <w:kern w:val="2"/>
          <w:szCs w:val="24"/>
        </w:rPr>
      </w:pPr>
      <w:hyperlink w:anchor="_Toc161062604" w:history="1">
        <w:r w:rsidR="000054B5" w:rsidRPr="00910BDF">
          <w:rPr>
            <w:rStyle w:val="Lienhypertexte"/>
            <w:rFonts w:eastAsia="Arial" w:cs="Arial"/>
            <w:bdr w:val="nil"/>
          </w:rPr>
          <w:t>Liberté de choix et capacité juridique</w:t>
        </w:r>
        <w:r w:rsidR="000054B5">
          <w:rPr>
            <w:webHidden/>
          </w:rPr>
          <w:tab/>
        </w:r>
        <w:r w:rsidR="000054B5">
          <w:rPr>
            <w:webHidden/>
          </w:rPr>
          <w:fldChar w:fldCharType="begin"/>
        </w:r>
        <w:r w:rsidR="000054B5">
          <w:rPr>
            <w:webHidden/>
          </w:rPr>
          <w:instrText xml:space="preserve"> PAGEREF _Toc161062604 \h </w:instrText>
        </w:r>
        <w:r w:rsidR="000054B5">
          <w:rPr>
            <w:webHidden/>
          </w:rPr>
        </w:r>
        <w:r w:rsidR="000054B5">
          <w:rPr>
            <w:webHidden/>
          </w:rPr>
          <w:fldChar w:fldCharType="separate"/>
        </w:r>
        <w:r w:rsidR="000054B5">
          <w:rPr>
            <w:webHidden/>
          </w:rPr>
          <w:t>38</w:t>
        </w:r>
        <w:r w:rsidR="000054B5">
          <w:rPr>
            <w:webHidden/>
          </w:rPr>
          <w:fldChar w:fldCharType="end"/>
        </w:r>
      </w:hyperlink>
    </w:p>
    <w:p w14:paraId="5618BBDE" w14:textId="77777777" w:rsidR="000054B5" w:rsidRPr="009D20B9" w:rsidRDefault="00000000">
      <w:pPr>
        <w:pStyle w:val="TM3"/>
        <w:tabs>
          <w:tab w:val="right" w:leader="dot" w:pos="9980"/>
        </w:tabs>
        <w:rPr>
          <w:rFonts w:ascii="Aptos" w:hAnsi="Aptos"/>
          <w:kern w:val="2"/>
          <w:szCs w:val="24"/>
        </w:rPr>
      </w:pPr>
      <w:hyperlink w:anchor="_Toc161062605" w:history="1">
        <w:r w:rsidR="000054B5" w:rsidRPr="00910BDF">
          <w:rPr>
            <w:rStyle w:val="Lienhypertexte"/>
            <w:rFonts w:eastAsia="Arial" w:cs="Arial"/>
            <w:bdr w:val="nil"/>
          </w:rPr>
          <w:t>Évaluation du handicap</w:t>
        </w:r>
        <w:r w:rsidR="000054B5">
          <w:rPr>
            <w:webHidden/>
          </w:rPr>
          <w:tab/>
        </w:r>
        <w:r w:rsidR="000054B5">
          <w:rPr>
            <w:webHidden/>
          </w:rPr>
          <w:fldChar w:fldCharType="begin"/>
        </w:r>
        <w:r w:rsidR="000054B5">
          <w:rPr>
            <w:webHidden/>
          </w:rPr>
          <w:instrText xml:space="preserve"> PAGEREF _Toc161062605 \h </w:instrText>
        </w:r>
        <w:r w:rsidR="000054B5">
          <w:rPr>
            <w:webHidden/>
          </w:rPr>
        </w:r>
        <w:r w:rsidR="000054B5">
          <w:rPr>
            <w:webHidden/>
          </w:rPr>
          <w:fldChar w:fldCharType="separate"/>
        </w:r>
        <w:r w:rsidR="000054B5">
          <w:rPr>
            <w:webHidden/>
          </w:rPr>
          <w:t>38</w:t>
        </w:r>
        <w:r w:rsidR="000054B5">
          <w:rPr>
            <w:webHidden/>
          </w:rPr>
          <w:fldChar w:fldCharType="end"/>
        </w:r>
      </w:hyperlink>
    </w:p>
    <w:p w14:paraId="0DEC1F79" w14:textId="77777777" w:rsidR="000054B5" w:rsidRPr="009D20B9" w:rsidRDefault="00000000">
      <w:pPr>
        <w:pStyle w:val="TM3"/>
        <w:tabs>
          <w:tab w:val="right" w:leader="dot" w:pos="9980"/>
        </w:tabs>
        <w:rPr>
          <w:rFonts w:ascii="Aptos" w:hAnsi="Aptos"/>
          <w:kern w:val="2"/>
          <w:szCs w:val="24"/>
        </w:rPr>
      </w:pPr>
      <w:hyperlink w:anchor="_Toc161062606" w:history="1">
        <w:r w:rsidR="000054B5" w:rsidRPr="00910BDF">
          <w:rPr>
            <w:rStyle w:val="Lienhypertexte"/>
            <w:rFonts w:eastAsia="Arial" w:cs="Arial"/>
            <w:bdr w:val="nil"/>
          </w:rPr>
          <w:t>Marchés publics</w:t>
        </w:r>
        <w:r w:rsidR="000054B5">
          <w:rPr>
            <w:webHidden/>
          </w:rPr>
          <w:tab/>
        </w:r>
        <w:r w:rsidR="000054B5">
          <w:rPr>
            <w:webHidden/>
          </w:rPr>
          <w:fldChar w:fldCharType="begin"/>
        </w:r>
        <w:r w:rsidR="000054B5">
          <w:rPr>
            <w:webHidden/>
          </w:rPr>
          <w:instrText xml:space="preserve"> PAGEREF _Toc161062606 \h </w:instrText>
        </w:r>
        <w:r w:rsidR="000054B5">
          <w:rPr>
            <w:webHidden/>
          </w:rPr>
        </w:r>
        <w:r w:rsidR="000054B5">
          <w:rPr>
            <w:webHidden/>
          </w:rPr>
          <w:fldChar w:fldCharType="separate"/>
        </w:r>
        <w:r w:rsidR="000054B5">
          <w:rPr>
            <w:webHidden/>
          </w:rPr>
          <w:t>39</w:t>
        </w:r>
        <w:r w:rsidR="000054B5">
          <w:rPr>
            <w:webHidden/>
          </w:rPr>
          <w:fldChar w:fldCharType="end"/>
        </w:r>
      </w:hyperlink>
    </w:p>
    <w:p w14:paraId="3680270B" w14:textId="77777777" w:rsidR="000054B5" w:rsidRPr="009D20B9" w:rsidRDefault="00000000">
      <w:pPr>
        <w:pStyle w:val="TM3"/>
        <w:tabs>
          <w:tab w:val="right" w:leader="dot" w:pos="9980"/>
        </w:tabs>
        <w:rPr>
          <w:rFonts w:ascii="Aptos" w:hAnsi="Aptos"/>
          <w:kern w:val="2"/>
          <w:szCs w:val="24"/>
        </w:rPr>
      </w:pPr>
      <w:hyperlink w:anchor="_Toc161062607" w:history="1">
        <w:r w:rsidR="000054B5" w:rsidRPr="00910BDF">
          <w:rPr>
            <w:rStyle w:val="Lienhypertexte"/>
            <w:rFonts w:eastAsia="Arial" w:cs="Arial"/>
            <w:bdr w:val="nil"/>
          </w:rPr>
          <w:t>Reconnaître la désinstitutionnalisation et la vie en autonomie comme une question de genre</w:t>
        </w:r>
        <w:r w:rsidR="000054B5">
          <w:rPr>
            <w:webHidden/>
          </w:rPr>
          <w:tab/>
        </w:r>
        <w:r w:rsidR="000054B5">
          <w:rPr>
            <w:webHidden/>
          </w:rPr>
          <w:fldChar w:fldCharType="begin"/>
        </w:r>
        <w:r w:rsidR="000054B5">
          <w:rPr>
            <w:webHidden/>
          </w:rPr>
          <w:instrText xml:space="preserve"> PAGEREF _Toc161062607 \h </w:instrText>
        </w:r>
        <w:r w:rsidR="000054B5">
          <w:rPr>
            <w:webHidden/>
          </w:rPr>
        </w:r>
        <w:r w:rsidR="000054B5">
          <w:rPr>
            <w:webHidden/>
          </w:rPr>
          <w:fldChar w:fldCharType="separate"/>
        </w:r>
        <w:r w:rsidR="000054B5">
          <w:rPr>
            <w:webHidden/>
          </w:rPr>
          <w:t>39</w:t>
        </w:r>
        <w:r w:rsidR="000054B5">
          <w:rPr>
            <w:webHidden/>
          </w:rPr>
          <w:fldChar w:fldCharType="end"/>
        </w:r>
      </w:hyperlink>
    </w:p>
    <w:p w14:paraId="6D66B2C6" w14:textId="77777777" w:rsidR="000054B5" w:rsidRPr="009D20B9" w:rsidRDefault="00000000">
      <w:pPr>
        <w:pStyle w:val="TM3"/>
        <w:tabs>
          <w:tab w:val="right" w:leader="dot" w:pos="9980"/>
        </w:tabs>
        <w:rPr>
          <w:rFonts w:ascii="Aptos" w:hAnsi="Aptos"/>
          <w:kern w:val="2"/>
          <w:szCs w:val="24"/>
        </w:rPr>
      </w:pPr>
      <w:hyperlink w:anchor="_Toc161062608" w:history="1">
        <w:r w:rsidR="000054B5" w:rsidRPr="00910BDF">
          <w:rPr>
            <w:rStyle w:val="Lienhypertexte"/>
            <w:rFonts w:eastAsia="Arial" w:cs="Arial"/>
            <w:bdr w:val="nil"/>
          </w:rPr>
          <w:t>Impliquer les organisations de personnes handicapées</w:t>
        </w:r>
        <w:r w:rsidR="000054B5">
          <w:rPr>
            <w:webHidden/>
          </w:rPr>
          <w:tab/>
        </w:r>
        <w:r w:rsidR="000054B5">
          <w:rPr>
            <w:webHidden/>
          </w:rPr>
          <w:fldChar w:fldCharType="begin"/>
        </w:r>
        <w:r w:rsidR="000054B5">
          <w:rPr>
            <w:webHidden/>
          </w:rPr>
          <w:instrText xml:space="preserve"> PAGEREF _Toc161062608 \h </w:instrText>
        </w:r>
        <w:r w:rsidR="000054B5">
          <w:rPr>
            <w:webHidden/>
          </w:rPr>
        </w:r>
        <w:r w:rsidR="000054B5">
          <w:rPr>
            <w:webHidden/>
          </w:rPr>
          <w:fldChar w:fldCharType="separate"/>
        </w:r>
        <w:r w:rsidR="000054B5">
          <w:rPr>
            <w:webHidden/>
          </w:rPr>
          <w:t>41</w:t>
        </w:r>
        <w:r w:rsidR="000054B5">
          <w:rPr>
            <w:webHidden/>
          </w:rPr>
          <w:fldChar w:fldCharType="end"/>
        </w:r>
      </w:hyperlink>
    </w:p>
    <w:p w14:paraId="17E557B5" w14:textId="77777777" w:rsidR="000054B5" w:rsidRPr="009D20B9" w:rsidRDefault="00000000">
      <w:pPr>
        <w:pStyle w:val="TM2"/>
        <w:tabs>
          <w:tab w:val="left" w:pos="720"/>
          <w:tab w:val="right" w:leader="dot" w:pos="9980"/>
        </w:tabs>
        <w:rPr>
          <w:rFonts w:ascii="Aptos" w:hAnsi="Aptos"/>
          <w:kern w:val="2"/>
          <w:szCs w:val="24"/>
        </w:rPr>
      </w:pPr>
      <w:hyperlink w:anchor="_Toc161062609" w:history="1">
        <w:r w:rsidR="000054B5" w:rsidRPr="00910BDF">
          <w:rPr>
            <w:rStyle w:val="Lienhypertexte"/>
          </w:rPr>
          <w:t>8.</w:t>
        </w:r>
        <w:r w:rsidR="000054B5" w:rsidRPr="009D20B9">
          <w:rPr>
            <w:rFonts w:ascii="Aptos" w:hAnsi="Aptos"/>
            <w:kern w:val="2"/>
            <w:szCs w:val="24"/>
          </w:rPr>
          <w:tab/>
        </w:r>
        <w:r w:rsidR="000054B5" w:rsidRPr="00910BDF">
          <w:rPr>
            <w:rStyle w:val="Lienhypertexte"/>
            <w:rFonts w:eastAsia="Arial" w:cs="Arial"/>
            <w:bdr w:val="nil"/>
          </w:rPr>
          <w:t>Recommandations à l’Union européenne</w:t>
        </w:r>
        <w:r w:rsidR="000054B5">
          <w:rPr>
            <w:webHidden/>
          </w:rPr>
          <w:tab/>
        </w:r>
        <w:r w:rsidR="000054B5">
          <w:rPr>
            <w:webHidden/>
          </w:rPr>
          <w:fldChar w:fldCharType="begin"/>
        </w:r>
        <w:r w:rsidR="000054B5">
          <w:rPr>
            <w:webHidden/>
          </w:rPr>
          <w:instrText xml:space="preserve"> PAGEREF _Toc161062609 \h </w:instrText>
        </w:r>
        <w:r w:rsidR="000054B5">
          <w:rPr>
            <w:webHidden/>
          </w:rPr>
        </w:r>
        <w:r w:rsidR="000054B5">
          <w:rPr>
            <w:webHidden/>
          </w:rPr>
          <w:fldChar w:fldCharType="separate"/>
        </w:r>
        <w:r w:rsidR="000054B5">
          <w:rPr>
            <w:webHidden/>
          </w:rPr>
          <w:t>42</w:t>
        </w:r>
        <w:r w:rsidR="000054B5">
          <w:rPr>
            <w:webHidden/>
          </w:rPr>
          <w:fldChar w:fldCharType="end"/>
        </w:r>
      </w:hyperlink>
    </w:p>
    <w:p w14:paraId="5462854E" w14:textId="77777777" w:rsidR="000054B5" w:rsidRPr="009D20B9" w:rsidRDefault="00000000">
      <w:pPr>
        <w:pStyle w:val="TM3"/>
        <w:tabs>
          <w:tab w:val="right" w:leader="dot" w:pos="9980"/>
        </w:tabs>
        <w:rPr>
          <w:rFonts w:ascii="Aptos" w:hAnsi="Aptos"/>
          <w:kern w:val="2"/>
          <w:szCs w:val="24"/>
        </w:rPr>
      </w:pPr>
      <w:hyperlink w:anchor="_Toc161062610" w:history="1">
        <w:r w:rsidR="000054B5" w:rsidRPr="00910BDF">
          <w:rPr>
            <w:rStyle w:val="Lienhypertexte"/>
            <w:rFonts w:eastAsia="Arial" w:cs="Arial"/>
            <w:bdr w:val="nil"/>
          </w:rPr>
          <w:t>Gérer le nombre de personnes dans les institutions</w:t>
        </w:r>
        <w:r w:rsidR="000054B5">
          <w:rPr>
            <w:webHidden/>
          </w:rPr>
          <w:tab/>
        </w:r>
        <w:r w:rsidR="000054B5">
          <w:rPr>
            <w:webHidden/>
          </w:rPr>
          <w:fldChar w:fldCharType="begin"/>
        </w:r>
        <w:r w:rsidR="000054B5">
          <w:rPr>
            <w:webHidden/>
          </w:rPr>
          <w:instrText xml:space="preserve"> PAGEREF _Toc161062610 \h </w:instrText>
        </w:r>
        <w:r w:rsidR="000054B5">
          <w:rPr>
            <w:webHidden/>
          </w:rPr>
        </w:r>
        <w:r w:rsidR="000054B5">
          <w:rPr>
            <w:webHidden/>
          </w:rPr>
          <w:fldChar w:fldCharType="separate"/>
        </w:r>
        <w:r w:rsidR="000054B5">
          <w:rPr>
            <w:webHidden/>
          </w:rPr>
          <w:t>42</w:t>
        </w:r>
        <w:r w:rsidR="000054B5">
          <w:rPr>
            <w:webHidden/>
          </w:rPr>
          <w:fldChar w:fldCharType="end"/>
        </w:r>
      </w:hyperlink>
    </w:p>
    <w:p w14:paraId="62A0F745" w14:textId="77777777" w:rsidR="000054B5" w:rsidRPr="009D20B9" w:rsidRDefault="00000000">
      <w:pPr>
        <w:pStyle w:val="TM3"/>
        <w:tabs>
          <w:tab w:val="right" w:leader="dot" w:pos="9980"/>
        </w:tabs>
        <w:rPr>
          <w:rFonts w:ascii="Aptos" w:hAnsi="Aptos"/>
          <w:kern w:val="2"/>
          <w:szCs w:val="24"/>
        </w:rPr>
      </w:pPr>
      <w:hyperlink w:anchor="_Toc161062611" w:history="1">
        <w:r w:rsidR="000054B5" w:rsidRPr="00910BDF">
          <w:rPr>
            <w:rStyle w:val="Lienhypertexte"/>
            <w:rFonts w:eastAsia="Arial" w:cs="Arial"/>
            <w:bdr w:val="nil"/>
          </w:rPr>
          <w:t>Vérifier que des droits de l’Homme soient appliqués auprès des personnes porteuses de handicap en institution</w:t>
        </w:r>
        <w:r w:rsidR="000054B5">
          <w:rPr>
            <w:webHidden/>
          </w:rPr>
          <w:tab/>
        </w:r>
        <w:r w:rsidR="000054B5">
          <w:rPr>
            <w:webHidden/>
          </w:rPr>
          <w:fldChar w:fldCharType="begin"/>
        </w:r>
        <w:r w:rsidR="000054B5">
          <w:rPr>
            <w:webHidden/>
          </w:rPr>
          <w:instrText xml:space="preserve"> PAGEREF _Toc161062611 \h </w:instrText>
        </w:r>
        <w:r w:rsidR="000054B5">
          <w:rPr>
            <w:webHidden/>
          </w:rPr>
        </w:r>
        <w:r w:rsidR="000054B5">
          <w:rPr>
            <w:webHidden/>
          </w:rPr>
          <w:fldChar w:fldCharType="separate"/>
        </w:r>
        <w:r w:rsidR="000054B5">
          <w:rPr>
            <w:webHidden/>
          </w:rPr>
          <w:t>43</w:t>
        </w:r>
        <w:r w:rsidR="000054B5">
          <w:rPr>
            <w:webHidden/>
          </w:rPr>
          <w:fldChar w:fldCharType="end"/>
        </w:r>
      </w:hyperlink>
    </w:p>
    <w:p w14:paraId="543B0E85" w14:textId="77777777" w:rsidR="000054B5" w:rsidRPr="009D20B9" w:rsidRDefault="00000000">
      <w:pPr>
        <w:pStyle w:val="TM3"/>
        <w:tabs>
          <w:tab w:val="right" w:leader="dot" w:pos="9980"/>
        </w:tabs>
        <w:rPr>
          <w:rFonts w:ascii="Aptos" w:hAnsi="Aptos"/>
          <w:kern w:val="2"/>
          <w:szCs w:val="24"/>
        </w:rPr>
      </w:pPr>
      <w:hyperlink w:anchor="_Toc161062612" w:history="1">
        <w:r w:rsidR="000054B5" w:rsidRPr="00910BDF">
          <w:rPr>
            <w:rStyle w:val="Lienhypertexte"/>
            <w:rFonts w:eastAsia="Arial" w:cs="Arial"/>
            <w:bdr w:val="nil"/>
          </w:rPr>
          <w:t>Soutenir les stratégies nationales en matière de handicap</w:t>
        </w:r>
        <w:r w:rsidR="000054B5">
          <w:rPr>
            <w:webHidden/>
          </w:rPr>
          <w:tab/>
        </w:r>
        <w:r w:rsidR="000054B5">
          <w:rPr>
            <w:webHidden/>
          </w:rPr>
          <w:fldChar w:fldCharType="begin"/>
        </w:r>
        <w:r w:rsidR="000054B5">
          <w:rPr>
            <w:webHidden/>
          </w:rPr>
          <w:instrText xml:space="preserve"> PAGEREF _Toc161062612 \h </w:instrText>
        </w:r>
        <w:r w:rsidR="000054B5">
          <w:rPr>
            <w:webHidden/>
          </w:rPr>
        </w:r>
        <w:r w:rsidR="000054B5">
          <w:rPr>
            <w:webHidden/>
          </w:rPr>
          <w:fldChar w:fldCharType="separate"/>
        </w:r>
        <w:r w:rsidR="000054B5">
          <w:rPr>
            <w:webHidden/>
          </w:rPr>
          <w:t>43</w:t>
        </w:r>
        <w:r w:rsidR="000054B5">
          <w:rPr>
            <w:webHidden/>
          </w:rPr>
          <w:fldChar w:fldCharType="end"/>
        </w:r>
      </w:hyperlink>
    </w:p>
    <w:p w14:paraId="78A8F934" w14:textId="77777777" w:rsidR="000054B5" w:rsidRPr="009D20B9" w:rsidRDefault="00000000">
      <w:pPr>
        <w:pStyle w:val="TM3"/>
        <w:tabs>
          <w:tab w:val="right" w:leader="dot" w:pos="9980"/>
        </w:tabs>
        <w:rPr>
          <w:rFonts w:ascii="Aptos" w:hAnsi="Aptos"/>
          <w:kern w:val="2"/>
          <w:szCs w:val="24"/>
        </w:rPr>
      </w:pPr>
      <w:hyperlink w:anchor="_Toc161062613" w:history="1">
        <w:r w:rsidR="000054B5" w:rsidRPr="00910BDF">
          <w:rPr>
            <w:rStyle w:val="Lienhypertexte"/>
            <w:rFonts w:eastAsia="Arial" w:cs="Arial"/>
            <w:bdr w:val="nil"/>
          </w:rPr>
          <w:t>Fonds européens</w:t>
        </w:r>
        <w:r w:rsidR="000054B5">
          <w:rPr>
            <w:webHidden/>
          </w:rPr>
          <w:tab/>
        </w:r>
        <w:r w:rsidR="000054B5">
          <w:rPr>
            <w:webHidden/>
          </w:rPr>
          <w:fldChar w:fldCharType="begin"/>
        </w:r>
        <w:r w:rsidR="000054B5">
          <w:rPr>
            <w:webHidden/>
          </w:rPr>
          <w:instrText xml:space="preserve"> PAGEREF _Toc161062613 \h </w:instrText>
        </w:r>
        <w:r w:rsidR="000054B5">
          <w:rPr>
            <w:webHidden/>
          </w:rPr>
        </w:r>
        <w:r w:rsidR="000054B5">
          <w:rPr>
            <w:webHidden/>
          </w:rPr>
          <w:fldChar w:fldCharType="separate"/>
        </w:r>
        <w:r w:rsidR="000054B5">
          <w:rPr>
            <w:webHidden/>
          </w:rPr>
          <w:t>44</w:t>
        </w:r>
        <w:r w:rsidR="000054B5">
          <w:rPr>
            <w:webHidden/>
          </w:rPr>
          <w:fldChar w:fldCharType="end"/>
        </w:r>
      </w:hyperlink>
    </w:p>
    <w:p w14:paraId="056D2785" w14:textId="77777777" w:rsidR="000054B5" w:rsidRPr="009D20B9" w:rsidRDefault="00000000">
      <w:pPr>
        <w:pStyle w:val="TM3"/>
        <w:tabs>
          <w:tab w:val="right" w:leader="dot" w:pos="9980"/>
        </w:tabs>
        <w:rPr>
          <w:rFonts w:ascii="Aptos" w:hAnsi="Aptos"/>
          <w:kern w:val="2"/>
          <w:szCs w:val="24"/>
        </w:rPr>
      </w:pPr>
      <w:hyperlink w:anchor="_Toc161062614" w:history="1">
        <w:r w:rsidR="000054B5" w:rsidRPr="00910BDF">
          <w:rPr>
            <w:rStyle w:val="Lienhypertexte"/>
            <w:rFonts w:eastAsia="Arial" w:cs="Arial"/>
            <w:bdr w:val="nil"/>
          </w:rPr>
          <w:t>Soutenir la transition des institutions dans les pays en voie d’adhésion à l’UE et au-delà</w:t>
        </w:r>
        <w:r w:rsidR="000054B5">
          <w:rPr>
            <w:webHidden/>
          </w:rPr>
          <w:tab/>
        </w:r>
        <w:r w:rsidR="000054B5">
          <w:rPr>
            <w:webHidden/>
          </w:rPr>
          <w:fldChar w:fldCharType="begin"/>
        </w:r>
        <w:r w:rsidR="000054B5">
          <w:rPr>
            <w:webHidden/>
          </w:rPr>
          <w:instrText xml:space="preserve"> PAGEREF _Toc161062614 \h </w:instrText>
        </w:r>
        <w:r w:rsidR="000054B5">
          <w:rPr>
            <w:webHidden/>
          </w:rPr>
        </w:r>
        <w:r w:rsidR="000054B5">
          <w:rPr>
            <w:webHidden/>
          </w:rPr>
          <w:fldChar w:fldCharType="separate"/>
        </w:r>
        <w:r w:rsidR="000054B5">
          <w:rPr>
            <w:webHidden/>
          </w:rPr>
          <w:t>45</w:t>
        </w:r>
        <w:r w:rsidR="000054B5">
          <w:rPr>
            <w:webHidden/>
          </w:rPr>
          <w:fldChar w:fldCharType="end"/>
        </w:r>
      </w:hyperlink>
    </w:p>
    <w:p w14:paraId="4791D4E2" w14:textId="77777777" w:rsidR="000054B5" w:rsidRPr="009D20B9" w:rsidRDefault="00000000">
      <w:pPr>
        <w:pStyle w:val="TM3"/>
        <w:tabs>
          <w:tab w:val="right" w:leader="dot" w:pos="9980"/>
        </w:tabs>
        <w:rPr>
          <w:rFonts w:ascii="Aptos" w:hAnsi="Aptos"/>
          <w:kern w:val="2"/>
          <w:szCs w:val="24"/>
        </w:rPr>
      </w:pPr>
      <w:hyperlink w:anchor="_Toc161062615" w:history="1">
        <w:r w:rsidR="000054B5" w:rsidRPr="00910BDF">
          <w:rPr>
            <w:rStyle w:val="Lienhypertexte"/>
            <w:rFonts w:eastAsia="Arial" w:cs="Arial"/>
            <w:bdr w:val="nil"/>
          </w:rPr>
          <w:t>Contrôler l’utilisation des fonds de l’UE pour soutenir la vie en autonomie</w:t>
        </w:r>
        <w:r w:rsidR="000054B5">
          <w:rPr>
            <w:webHidden/>
          </w:rPr>
          <w:tab/>
        </w:r>
        <w:r w:rsidR="000054B5">
          <w:rPr>
            <w:webHidden/>
          </w:rPr>
          <w:fldChar w:fldCharType="begin"/>
        </w:r>
        <w:r w:rsidR="000054B5">
          <w:rPr>
            <w:webHidden/>
          </w:rPr>
          <w:instrText xml:space="preserve"> PAGEREF _Toc161062615 \h </w:instrText>
        </w:r>
        <w:r w:rsidR="000054B5">
          <w:rPr>
            <w:webHidden/>
          </w:rPr>
        </w:r>
        <w:r w:rsidR="000054B5">
          <w:rPr>
            <w:webHidden/>
          </w:rPr>
          <w:fldChar w:fldCharType="separate"/>
        </w:r>
        <w:r w:rsidR="000054B5">
          <w:rPr>
            <w:webHidden/>
          </w:rPr>
          <w:t>45</w:t>
        </w:r>
        <w:r w:rsidR="000054B5">
          <w:rPr>
            <w:webHidden/>
          </w:rPr>
          <w:fldChar w:fldCharType="end"/>
        </w:r>
      </w:hyperlink>
    </w:p>
    <w:p w14:paraId="40A0CB73" w14:textId="77777777" w:rsidR="000054B5" w:rsidRPr="009D20B9" w:rsidRDefault="00000000">
      <w:pPr>
        <w:pStyle w:val="TM3"/>
        <w:tabs>
          <w:tab w:val="right" w:leader="dot" w:pos="9980"/>
        </w:tabs>
        <w:rPr>
          <w:rFonts w:ascii="Aptos" w:hAnsi="Aptos"/>
          <w:kern w:val="2"/>
          <w:szCs w:val="24"/>
        </w:rPr>
      </w:pPr>
      <w:hyperlink w:anchor="_Toc161062616" w:history="1">
        <w:r w:rsidR="000054B5" w:rsidRPr="00910BDF">
          <w:rPr>
            <w:rStyle w:val="Lienhypertexte"/>
            <w:rFonts w:eastAsia="Arial" w:cs="Arial"/>
            <w:bdr w:val="nil"/>
          </w:rPr>
          <w:t>Semestre européen</w:t>
        </w:r>
        <w:r w:rsidR="000054B5">
          <w:rPr>
            <w:webHidden/>
          </w:rPr>
          <w:tab/>
        </w:r>
        <w:r w:rsidR="000054B5">
          <w:rPr>
            <w:webHidden/>
          </w:rPr>
          <w:fldChar w:fldCharType="begin"/>
        </w:r>
        <w:r w:rsidR="000054B5">
          <w:rPr>
            <w:webHidden/>
          </w:rPr>
          <w:instrText xml:space="preserve"> PAGEREF _Toc161062616 \h </w:instrText>
        </w:r>
        <w:r w:rsidR="000054B5">
          <w:rPr>
            <w:webHidden/>
          </w:rPr>
        </w:r>
        <w:r w:rsidR="000054B5">
          <w:rPr>
            <w:webHidden/>
          </w:rPr>
          <w:fldChar w:fldCharType="separate"/>
        </w:r>
        <w:r w:rsidR="000054B5">
          <w:rPr>
            <w:webHidden/>
          </w:rPr>
          <w:t>46</w:t>
        </w:r>
        <w:r w:rsidR="000054B5">
          <w:rPr>
            <w:webHidden/>
          </w:rPr>
          <w:fldChar w:fldCharType="end"/>
        </w:r>
      </w:hyperlink>
    </w:p>
    <w:p w14:paraId="73A9E373" w14:textId="77777777" w:rsidR="000054B5" w:rsidRPr="009D20B9" w:rsidRDefault="00000000">
      <w:pPr>
        <w:pStyle w:val="TM3"/>
        <w:tabs>
          <w:tab w:val="right" w:leader="dot" w:pos="9980"/>
        </w:tabs>
        <w:rPr>
          <w:rFonts w:ascii="Aptos" w:hAnsi="Aptos"/>
          <w:kern w:val="2"/>
          <w:szCs w:val="24"/>
        </w:rPr>
      </w:pPr>
      <w:hyperlink w:anchor="_Toc161062617" w:history="1">
        <w:r w:rsidR="000054B5" w:rsidRPr="00910BDF">
          <w:rPr>
            <w:rStyle w:val="Lienhypertexte"/>
            <w:rFonts w:eastAsia="Arial" w:cs="Arial"/>
            <w:bdr w:val="nil"/>
          </w:rPr>
          <w:t>Mécanisme d’alerte et de plainte concernant les fonds de l’UE</w:t>
        </w:r>
        <w:r w:rsidR="000054B5">
          <w:rPr>
            <w:webHidden/>
          </w:rPr>
          <w:tab/>
        </w:r>
        <w:r w:rsidR="000054B5">
          <w:rPr>
            <w:webHidden/>
          </w:rPr>
          <w:fldChar w:fldCharType="begin"/>
        </w:r>
        <w:r w:rsidR="000054B5">
          <w:rPr>
            <w:webHidden/>
          </w:rPr>
          <w:instrText xml:space="preserve"> PAGEREF _Toc161062617 \h </w:instrText>
        </w:r>
        <w:r w:rsidR="000054B5">
          <w:rPr>
            <w:webHidden/>
          </w:rPr>
        </w:r>
        <w:r w:rsidR="000054B5">
          <w:rPr>
            <w:webHidden/>
          </w:rPr>
          <w:fldChar w:fldCharType="separate"/>
        </w:r>
        <w:r w:rsidR="000054B5">
          <w:rPr>
            <w:webHidden/>
          </w:rPr>
          <w:t>46</w:t>
        </w:r>
        <w:r w:rsidR="000054B5">
          <w:rPr>
            <w:webHidden/>
          </w:rPr>
          <w:fldChar w:fldCharType="end"/>
        </w:r>
      </w:hyperlink>
    </w:p>
    <w:p w14:paraId="5787A976" w14:textId="77777777" w:rsidR="000054B5" w:rsidRPr="009D20B9" w:rsidRDefault="00000000">
      <w:pPr>
        <w:pStyle w:val="TM2"/>
        <w:tabs>
          <w:tab w:val="right" w:leader="dot" w:pos="9980"/>
        </w:tabs>
        <w:rPr>
          <w:rFonts w:ascii="Aptos" w:hAnsi="Aptos"/>
          <w:kern w:val="2"/>
          <w:szCs w:val="24"/>
        </w:rPr>
      </w:pPr>
      <w:hyperlink w:anchor="_Toc161062618" w:history="1">
        <w:r w:rsidR="000054B5" w:rsidRPr="00910BDF">
          <w:rPr>
            <w:rStyle w:val="Lienhypertexte"/>
            <w:rFonts w:eastAsia="Arial" w:cs="Arial"/>
            <w:bdr w:val="nil"/>
          </w:rPr>
          <w:t>À propos du Forum européen des personnes handicapées</w:t>
        </w:r>
        <w:r w:rsidR="000054B5">
          <w:rPr>
            <w:webHidden/>
          </w:rPr>
          <w:tab/>
        </w:r>
        <w:r w:rsidR="000054B5">
          <w:rPr>
            <w:webHidden/>
          </w:rPr>
          <w:fldChar w:fldCharType="begin"/>
        </w:r>
        <w:r w:rsidR="000054B5">
          <w:rPr>
            <w:webHidden/>
          </w:rPr>
          <w:instrText xml:space="preserve"> PAGEREF _Toc161062618 \h </w:instrText>
        </w:r>
        <w:r w:rsidR="000054B5">
          <w:rPr>
            <w:webHidden/>
          </w:rPr>
        </w:r>
        <w:r w:rsidR="000054B5">
          <w:rPr>
            <w:webHidden/>
          </w:rPr>
          <w:fldChar w:fldCharType="separate"/>
        </w:r>
        <w:r w:rsidR="000054B5">
          <w:rPr>
            <w:webHidden/>
          </w:rPr>
          <w:t>47</w:t>
        </w:r>
        <w:r w:rsidR="000054B5">
          <w:rPr>
            <w:webHidden/>
          </w:rPr>
          <w:fldChar w:fldCharType="end"/>
        </w:r>
      </w:hyperlink>
    </w:p>
    <w:p w14:paraId="0A7D0949" w14:textId="77777777" w:rsidR="000054B5" w:rsidRPr="009D20B9" w:rsidRDefault="00000000">
      <w:pPr>
        <w:pStyle w:val="TM2"/>
        <w:tabs>
          <w:tab w:val="right" w:leader="dot" w:pos="9980"/>
        </w:tabs>
        <w:rPr>
          <w:rFonts w:ascii="Aptos" w:hAnsi="Aptos"/>
          <w:kern w:val="2"/>
          <w:szCs w:val="24"/>
        </w:rPr>
      </w:pPr>
      <w:hyperlink w:anchor="_Toc161062619" w:history="1">
        <w:r w:rsidR="000054B5" w:rsidRPr="00910BDF">
          <w:rPr>
            <w:rStyle w:val="Lienhypertexte"/>
            <w:rFonts w:eastAsia="Arial" w:cs="Arial"/>
            <w:bdr w:val="nil"/>
          </w:rPr>
          <w:t>Ressources recommandées</w:t>
        </w:r>
        <w:r w:rsidR="000054B5">
          <w:rPr>
            <w:webHidden/>
          </w:rPr>
          <w:tab/>
        </w:r>
        <w:r w:rsidR="000054B5">
          <w:rPr>
            <w:webHidden/>
          </w:rPr>
          <w:fldChar w:fldCharType="begin"/>
        </w:r>
        <w:r w:rsidR="000054B5">
          <w:rPr>
            <w:webHidden/>
          </w:rPr>
          <w:instrText xml:space="preserve"> PAGEREF _Toc161062619 \h </w:instrText>
        </w:r>
        <w:r w:rsidR="000054B5">
          <w:rPr>
            <w:webHidden/>
          </w:rPr>
        </w:r>
        <w:r w:rsidR="000054B5">
          <w:rPr>
            <w:webHidden/>
          </w:rPr>
          <w:fldChar w:fldCharType="separate"/>
        </w:r>
        <w:r w:rsidR="000054B5">
          <w:rPr>
            <w:webHidden/>
          </w:rPr>
          <w:t>47</w:t>
        </w:r>
        <w:r w:rsidR="000054B5">
          <w:rPr>
            <w:webHidden/>
          </w:rPr>
          <w:fldChar w:fldCharType="end"/>
        </w:r>
      </w:hyperlink>
    </w:p>
    <w:p w14:paraId="79D9DAD5" w14:textId="77777777" w:rsidR="000054B5" w:rsidRPr="009D20B9" w:rsidRDefault="00000000">
      <w:pPr>
        <w:pStyle w:val="TM2"/>
        <w:tabs>
          <w:tab w:val="right" w:leader="dot" w:pos="9980"/>
        </w:tabs>
        <w:rPr>
          <w:rFonts w:ascii="Aptos" w:hAnsi="Aptos"/>
          <w:kern w:val="2"/>
          <w:szCs w:val="24"/>
        </w:rPr>
      </w:pPr>
      <w:hyperlink w:anchor="_Toc161062620" w:history="1">
        <w:r w:rsidR="000054B5" w:rsidRPr="00910BDF">
          <w:rPr>
            <w:rStyle w:val="Lienhypertexte"/>
            <w:rFonts w:eastAsia="Arial" w:cs="Arial"/>
            <w:bdr w:val="nil"/>
          </w:rPr>
          <w:t>Annexe</w:t>
        </w:r>
        <w:r w:rsidR="000054B5">
          <w:rPr>
            <w:webHidden/>
          </w:rPr>
          <w:tab/>
        </w:r>
        <w:r w:rsidR="000054B5">
          <w:rPr>
            <w:webHidden/>
          </w:rPr>
          <w:fldChar w:fldCharType="begin"/>
        </w:r>
        <w:r w:rsidR="000054B5">
          <w:rPr>
            <w:webHidden/>
          </w:rPr>
          <w:instrText xml:space="preserve"> PAGEREF _Toc161062620 \h </w:instrText>
        </w:r>
        <w:r w:rsidR="000054B5">
          <w:rPr>
            <w:webHidden/>
          </w:rPr>
        </w:r>
        <w:r w:rsidR="000054B5">
          <w:rPr>
            <w:webHidden/>
          </w:rPr>
          <w:fldChar w:fldCharType="separate"/>
        </w:r>
        <w:r w:rsidR="000054B5">
          <w:rPr>
            <w:webHidden/>
          </w:rPr>
          <w:t>48</w:t>
        </w:r>
        <w:r w:rsidR="000054B5">
          <w:rPr>
            <w:webHidden/>
          </w:rPr>
          <w:fldChar w:fldCharType="end"/>
        </w:r>
      </w:hyperlink>
    </w:p>
    <w:p w14:paraId="35AD08C1" w14:textId="77777777" w:rsidR="000054B5" w:rsidRPr="009D20B9" w:rsidRDefault="00000000">
      <w:pPr>
        <w:pStyle w:val="TM2"/>
        <w:tabs>
          <w:tab w:val="right" w:leader="dot" w:pos="9980"/>
        </w:tabs>
        <w:rPr>
          <w:rFonts w:ascii="Aptos" w:hAnsi="Aptos"/>
          <w:kern w:val="2"/>
          <w:szCs w:val="24"/>
        </w:rPr>
      </w:pPr>
      <w:hyperlink w:anchor="_Toc161062621" w:history="1">
        <w:r w:rsidR="000054B5" w:rsidRPr="00910BDF">
          <w:rPr>
            <w:rStyle w:val="Lienhypertexte"/>
            <w:rFonts w:eastAsia="Arial" w:cs="Arial"/>
            <w:bdr w:val="nil"/>
          </w:rPr>
          <w:t>Résumé facile à lire</w:t>
        </w:r>
        <w:r w:rsidR="000054B5">
          <w:rPr>
            <w:webHidden/>
          </w:rPr>
          <w:tab/>
        </w:r>
        <w:r w:rsidR="000054B5">
          <w:rPr>
            <w:webHidden/>
          </w:rPr>
          <w:fldChar w:fldCharType="begin"/>
        </w:r>
        <w:r w:rsidR="000054B5">
          <w:rPr>
            <w:webHidden/>
          </w:rPr>
          <w:instrText xml:space="preserve"> PAGEREF _Toc161062621 \h </w:instrText>
        </w:r>
        <w:r w:rsidR="000054B5">
          <w:rPr>
            <w:webHidden/>
          </w:rPr>
        </w:r>
        <w:r w:rsidR="000054B5">
          <w:rPr>
            <w:webHidden/>
          </w:rPr>
          <w:fldChar w:fldCharType="separate"/>
        </w:r>
        <w:r w:rsidR="000054B5">
          <w:rPr>
            <w:webHidden/>
          </w:rPr>
          <w:t>48</w:t>
        </w:r>
        <w:r w:rsidR="000054B5">
          <w:rPr>
            <w:webHidden/>
          </w:rPr>
          <w:fldChar w:fldCharType="end"/>
        </w:r>
      </w:hyperlink>
    </w:p>
    <w:p w14:paraId="4A3592D4" w14:textId="77777777" w:rsidR="000054B5" w:rsidRPr="009D20B9" w:rsidRDefault="00000000">
      <w:pPr>
        <w:pStyle w:val="TM2"/>
        <w:tabs>
          <w:tab w:val="right" w:leader="dot" w:pos="9980"/>
        </w:tabs>
        <w:rPr>
          <w:rFonts w:ascii="Aptos" w:hAnsi="Aptos"/>
          <w:kern w:val="2"/>
          <w:szCs w:val="24"/>
        </w:rPr>
      </w:pPr>
      <w:hyperlink w:anchor="_Toc161062622" w:history="1">
        <w:r w:rsidR="000054B5" w:rsidRPr="00910BDF">
          <w:rPr>
            <w:rStyle w:val="Lienhypertexte"/>
            <w:rFonts w:eastAsia="Arial" w:cs="Arial"/>
            <w:bdr w:val="nil"/>
          </w:rPr>
          <w:t>Crédits de documents</w:t>
        </w:r>
        <w:r w:rsidR="000054B5">
          <w:rPr>
            <w:webHidden/>
          </w:rPr>
          <w:tab/>
        </w:r>
        <w:r w:rsidR="000054B5">
          <w:rPr>
            <w:webHidden/>
          </w:rPr>
          <w:fldChar w:fldCharType="begin"/>
        </w:r>
        <w:r w:rsidR="000054B5">
          <w:rPr>
            <w:webHidden/>
          </w:rPr>
          <w:instrText xml:space="preserve"> PAGEREF _Toc161062622 \h </w:instrText>
        </w:r>
        <w:r w:rsidR="000054B5">
          <w:rPr>
            <w:webHidden/>
          </w:rPr>
        </w:r>
        <w:r w:rsidR="000054B5">
          <w:rPr>
            <w:webHidden/>
          </w:rPr>
          <w:fldChar w:fldCharType="separate"/>
        </w:r>
        <w:r w:rsidR="000054B5">
          <w:rPr>
            <w:webHidden/>
          </w:rPr>
          <w:t>48</w:t>
        </w:r>
        <w:r w:rsidR="000054B5">
          <w:rPr>
            <w:webHidden/>
          </w:rPr>
          <w:fldChar w:fldCharType="end"/>
        </w:r>
      </w:hyperlink>
    </w:p>
    <w:p w14:paraId="044EAA22" w14:textId="77777777" w:rsidR="002D4FDD" w:rsidRDefault="002D4FDD" w:rsidP="002D4FDD">
      <w:r>
        <w:rPr>
          <w:b/>
          <w:bCs/>
        </w:rPr>
        <w:fldChar w:fldCharType="end"/>
      </w:r>
    </w:p>
    <w:p w14:paraId="58E18908" w14:textId="77777777" w:rsidR="002D4FDD" w:rsidRDefault="002D4FDD" w:rsidP="002D4FDD"/>
    <w:p w14:paraId="5F52D7F6" w14:textId="77777777" w:rsidR="002D4FDD" w:rsidRDefault="002D4FDD" w:rsidP="002D4FDD"/>
    <w:p w14:paraId="0833F354" w14:textId="77777777" w:rsidR="002D4FDD" w:rsidRDefault="002D4FDD" w:rsidP="002D4FDD"/>
    <w:p w14:paraId="4C0A93C3" w14:textId="77777777" w:rsidR="002D4FDD" w:rsidRDefault="002D4FDD" w:rsidP="002D4FDD"/>
    <w:p w14:paraId="4CD38D29" w14:textId="77777777" w:rsidR="002D4FDD" w:rsidRDefault="002D4FDD" w:rsidP="002D4FDD"/>
    <w:p w14:paraId="6ADB3841" w14:textId="77777777" w:rsidR="002D4FDD" w:rsidRDefault="002D4FDD" w:rsidP="002D4FDD"/>
    <w:p w14:paraId="770A180F" w14:textId="77777777" w:rsidR="002D4FDD" w:rsidRDefault="002D4FDD" w:rsidP="002D4FDD"/>
    <w:p w14:paraId="594A00CB" w14:textId="77777777" w:rsidR="002D4FDD" w:rsidRDefault="002D4FDD" w:rsidP="002D4FDD"/>
    <w:p w14:paraId="070D43A4" w14:textId="77777777" w:rsidR="002D4FDD" w:rsidRDefault="002D4FDD" w:rsidP="002D4FDD"/>
    <w:p w14:paraId="22E8A087" w14:textId="77777777" w:rsidR="002D4FDD" w:rsidRDefault="002D4FDD" w:rsidP="002D4FDD"/>
    <w:p w14:paraId="51632C7D" w14:textId="77777777" w:rsidR="002D4FDD" w:rsidRDefault="002D4FDD" w:rsidP="002D4FDD"/>
    <w:p w14:paraId="64AEA242" w14:textId="77777777" w:rsidR="0037235E" w:rsidRDefault="0037235E" w:rsidP="002D4FDD"/>
    <w:p w14:paraId="1A939891" w14:textId="77777777" w:rsidR="002D4FDD" w:rsidRPr="00FE36CA" w:rsidRDefault="002D4FDD" w:rsidP="002D4FDD"/>
    <w:p w14:paraId="2B50BD4E" w14:textId="77777777" w:rsidR="002D4FDD" w:rsidRDefault="00624628" w:rsidP="002D4FDD">
      <w:pPr>
        <w:pStyle w:val="Titre2"/>
        <w:numPr>
          <w:ilvl w:val="0"/>
          <w:numId w:val="20"/>
        </w:numPr>
        <w:spacing w:before="120"/>
        <w:ind w:left="357" w:hanging="357"/>
        <w:jc w:val="center"/>
        <w:rPr>
          <w:rFonts w:cs="Arial"/>
        </w:rPr>
      </w:pPr>
      <w:bookmarkStart w:id="9" w:name="_Toc161062563"/>
      <w:r>
        <w:rPr>
          <w:bdr w:val="nil"/>
        </w:rPr>
        <w:t>Einleitung</w:t>
      </w:r>
      <w:bookmarkEnd w:id="9"/>
    </w:p>
    <w:p w14:paraId="537B2FE1" w14:textId="77777777" w:rsidR="002D4FDD" w:rsidRDefault="002D4FDD" w:rsidP="002D4FDD">
      <w:pPr>
        <w:rPr>
          <w:rFonts w:cs="Arial"/>
          <w:sz w:val="24"/>
          <w:szCs w:val="24"/>
        </w:rPr>
      </w:pPr>
    </w:p>
    <w:p w14:paraId="37E89CB6" w14:textId="77777777" w:rsidR="002D4FDD" w:rsidRPr="00BD11C7" w:rsidRDefault="00624628" w:rsidP="002D4FDD">
      <w:pPr>
        <w:rPr>
          <w:rFonts w:cs="Arial"/>
          <w:sz w:val="24"/>
          <w:szCs w:val="24"/>
        </w:rPr>
      </w:pPr>
      <w:r>
        <w:rPr>
          <w:sz w:val="24"/>
          <w:bdr w:val="nil"/>
        </w:rPr>
        <w:t xml:space="preserve">Die Europäische Union und ihre Mitgliedstaaten haben sich verpflichtet, Einrichtungen abzuschaffen, die Personen mit Behinderungen isolieren. Als Vertragsstaaten des </w:t>
      </w:r>
      <w:hyperlink r:id="rId8">
        <w:r>
          <w:rPr>
            <w:color w:val="0000FF"/>
            <w:sz w:val="24"/>
            <w:u w:val="single"/>
            <w:bdr w:val="nil"/>
          </w:rPr>
          <w:t>Übereinkommens der Vereinten Nationen über die Rechte von Menschen mit Behinderungen (UN-BRK)</w:t>
        </w:r>
      </w:hyperlink>
      <w:r>
        <w:rPr>
          <w:sz w:val="24"/>
          <w:bdr w:val="nil"/>
        </w:rPr>
        <w:t xml:space="preserve"> haben sie die gemeinsame Verantwortung, ein selbstbestimmtes Leben und die Einbeziehung in die Gemeinschaft als Realität zu fördern und zu unterstützen. </w:t>
      </w:r>
    </w:p>
    <w:p w14:paraId="71D0C104" w14:textId="77777777" w:rsidR="002D4FDD" w:rsidRPr="00BD11C7" w:rsidRDefault="00624628" w:rsidP="002D4FDD">
      <w:pPr>
        <w:rPr>
          <w:rFonts w:cs="Arial"/>
          <w:sz w:val="24"/>
          <w:szCs w:val="24"/>
        </w:rPr>
      </w:pPr>
      <w:r>
        <w:rPr>
          <w:sz w:val="24"/>
          <w:bdr w:val="nil"/>
        </w:rPr>
        <w:t xml:space="preserve">Zumindest in der Theorie. In der Realität stagniert dieser Prozess. Europa befindet sich in einer Sackgasse. In den meisten EU-Mitgliedstaaten werden derzeit nur geringe oder gar keine Fortschritte dabei erzielt, Personen mit Behinderungen das Verlassen von Einrichtungen zu ermöglichen. Infolgedessen sitzen immer noch viel zu viele Menschen in Einrichtungen fest, die sie isolieren und von ihrer Gemeinschaft abschneiden. </w:t>
      </w:r>
    </w:p>
    <w:p w14:paraId="70899A8E" w14:textId="77777777" w:rsidR="002D4FDD" w:rsidRPr="00BD11C7" w:rsidRDefault="00624628" w:rsidP="002D4FDD">
      <w:pPr>
        <w:rPr>
          <w:rFonts w:cs="Arial"/>
          <w:sz w:val="24"/>
          <w:szCs w:val="24"/>
        </w:rPr>
      </w:pPr>
      <w:r>
        <w:rPr>
          <w:sz w:val="24"/>
          <w:bdr w:val="nil"/>
        </w:rPr>
        <w:t xml:space="preserve">Wenn Einrichtungen Personen mit Behinderungen schon aufgrund ihrer Definition ihre grundlegendsten Menschenrechte vorenthalten, haben sich diese Verletzungen in einer Reihe von Fällen als extrem erwiesen. Diese Fälle, die wir in diesem Dokument beleuchten werden, zeigen, wie Einrichtungen die Sicherheit, das Wohlbefinden und die Würde von Bewohnern </w:t>
      </w:r>
      <w:r>
        <w:rPr>
          <w:sz w:val="24"/>
          <w:bdr w:val="nil"/>
        </w:rPr>
        <w:lastRenderedPageBreak/>
        <w:t xml:space="preserve">ernsthaft gefährden können. Diese Beispiele zeigen, dass es dringend notwendig ist, Einrichtungen zugunsten von gemeinschaftsbasierten Alternativen aufzugeben. </w:t>
      </w:r>
    </w:p>
    <w:p w14:paraId="69FB2D33" w14:textId="77777777" w:rsidR="005E0F8E" w:rsidRDefault="005E0F8E" w:rsidP="002D4FDD">
      <w:pPr>
        <w:rPr>
          <w:rFonts w:eastAsia="Arial" w:cs="Arial"/>
          <w:sz w:val="24"/>
          <w:szCs w:val="24"/>
          <w:bdr w:val="nil"/>
        </w:rPr>
      </w:pPr>
    </w:p>
    <w:p w14:paraId="6401E1DB" w14:textId="77777777" w:rsidR="002D4FDD" w:rsidRPr="00BD11C7" w:rsidRDefault="00624628" w:rsidP="002D4FDD">
      <w:pPr>
        <w:rPr>
          <w:rFonts w:cs="Arial"/>
          <w:sz w:val="24"/>
          <w:szCs w:val="24"/>
        </w:rPr>
      </w:pPr>
      <w:r>
        <w:rPr>
          <w:sz w:val="24"/>
          <w:bdr w:val="nil"/>
        </w:rPr>
        <w:t>Trotz eines allgemeinen Bewusstseins für die Schwere des Problems und die Notwendigkeit, etwas dagegen zu unternehmen, wird die Kontrollaufgabe der Einrichtungen, sei es auf lokaler, nationaler oder EU-Ebene, weit weniger ernst genommen. Es ist schwierig, zuverlässige und systematische Daten über Menschen, die in Europa in Einrichtungen leben, zu finden. Dies schränkt unser Verständnis der Identität von Personen, die in Einrichtungen leben, ein. Dies stellt auch unsere Fähigkeit in Frage, den Fortschritt bei der Abkehr von diesem veralteten Modell der „Pflege“ zu messen.</w:t>
      </w:r>
    </w:p>
    <w:p w14:paraId="374270B7" w14:textId="77777777" w:rsidR="002D4FDD" w:rsidRPr="00BD11C7" w:rsidRDefault="00624628" w:rsidP="002D4FDD">
      <w:pPr>
        <w:rPr>
          <w:rFonts w:cs="Arial"/>
          <w:sz w:val="24"/>
          <w:szCs w:val="24"/>
        </w:rPr>
      </w:pPr>
      <w:r>
        <w:rPr>
          <w:sz w:val="24"/>
          <w:bdr w:val="nil"/>
        </w:rPr>
        <w:t xml:space="preserve">In keinem europäischen Land kann man bisher von einem wirklichen Erfolg sprechen. Die Begriffe „Einrichtung“ und „selbstbestimmtes Leben“ werden in der EU nicht überall gleich verstanden, ebenso wenig wie die Vorstellungen darüber, wie man die Eingliederung in die Gemeinschaft am besten erleichtert. Dies sind Fragen, die wir im Namen des Europäischen Behindertenforums und unserer </w:t>
      </w:r>
      <w:hyperlink r:id="rId9" w:history="1">
        <w:r>
          <w:rPr>
            <w:color w:val="0000FF"/>
            <w:sz w:val="24"/>
            <w:u w:val="single"/>
            <w:bdr w:val="nil"/>
          </w:rPr>
          <w:t>Mitglieder in ganz Europa</w:t>
        </w:r>
      </w:hyperlink>
      <w:r>
        <w:rPr>
          <w:sz w:val="24"/>
          <w:bdr w:val="nil"/>
        </w:rPr>
        <w:t xml:space="preserve"> in diesem Dokument ansprechen und klären möchten. </w:t>
      </w:r>
    </w:p>
    <w:p w14:paraId="0AEAF460" w14:textId="77777777" w:rsidR="002D4FDD" w:rsidRDefault="002D4FDD" w:rsidP="002D4FDD">
      <w:pPr>
        <w:rPr>
          <w:highlight w:val="yellow"/>
        </w:rPr>
      </w:pPr>
    </w:p>
    <w:p w14:paraId="72ADBCD2" w14:textId="77777777" w:rsidR="002D4FDD" w:rsidRDefault="00624628" w:rsidP="002D4FDD">
      <w:pPr>
        <w:pStyle w:val="Titre3"/>
      </w:pPr>
      <w:bookmarkStart w:id="10" w:name="_Toc161062564"/>
      <w:r>
        <w:rPr>
          <w:bdr w:val="nil"/>
        </w:rPr>
        <w:t>Ziel</w:t>
      </w:r>
      <w:bookmarkEnd w:id="10"/>
    </w:p>
    <w:p w14:paraId="0E31BC1A" w14:textId="77777777" w:rsidR="002D4FDD" w:rsidRDefault="002D4FDD" w:rsidP="002D4FDD"/>
    <w:p w14:paraId="2509F602" w14:textId="77777777" w:rsidR="002D4FDD" w:rsidRPr="00D53C57" w:rsidRDefault="00624628" w:rsidP="002D4FDD">
      <w:pPr>
        <w:rPr>
          <w:rFonts w:eastAsia="Arial" w:cs="Arial"/>
          <w:sz w:val="24"/>
        </w:rPr>
      </w:pPr>
      <w:r>
        <w:rPr>
          <w:sz w:val="24"/>
          <w:bdr w:val="nil"/>
        </w:rPr>
        <w:t xml:space="preserve">Dieses Dokument dient als Grundlage für unsere Fürsprache bei politischen Entscheidungsträgern auf allen Ebenen, insbesondere aber bei der EU, damit diese eine bedeutende Rolle bei der Gewährleistung gleicher Rechte und Chancen für Personen mit Behinderungen in Europa spielen kann. Während am Ende jedes thematischen Abschnitts allgemeine Empfehlungen für Entscheidungsträger auf allen Ebenen stehen, sind unsere Empfehlungen an die EU im Besonderen im letzten Abschnitt der Publikation zusammengefasst. Unsere Analyse und unsere Empfehlungen dienen dazu, die EU zu beraten, wie sie alle ihr zur Verfügung stehenden Instrumente nutzen kann, um dies zu erreichen, einschließlich ihrer Finanzierungsprogramme, ihres makroökonomischen Managements, ihrer Datenerhebung, der Überwachung der Menschenrechte und der Umsetzung der UN-BRK, der </w:t>
      </w:r>
      <w:hyperlink r:id="rId10" w:history="1">
        <w:r>
          <w:rPr>
            <w:color w:val="0000FF"/>
            <w:sz w:val="24"/>
            <w:u w:val="single"/>
            <w:bdr w:val="nil"/>
          </w:rPr>
          <w:t>Europäischen Säule sozialer Rechte</w:t>
        </w:r>
      </w:hyperlink>
      <w:r>
        <w:rPr>
          <w:sz w:val="24"/>
          <w:bdr w:val="nil"/>
        </w:rPr>
        <w:t xml:space="preserve"> und der </w:t>
      </w:r>
      <w:hyperlink r:id="rId11" w:history="1">
        <w:r>
          <w:rPr>
            <w:color w:val="0000FF"/>
            <w:sz w:val="24"/>
            <w:u w:val="single"/>
            <w:bdr w:val="nil"/>
          </w:rPr>
          <w:t>Europäischen Strategie für die Rechte von Menschen mit Behinderungen</w:t>
        </w:r>
      </w:hyperlink>
      <w:r>
        <w:rPr>
          <w:sz w:val="24"/>
          <w:bdr w:val="nil"/>
        </w:rPr>
        <w:t xml:space="preserve">. </w:t>
      </w:r>
    </w:p>
    <w:p w14:paraId="0A2F65EC" w14:textId="77777777" w:rsidR="002D4FDD" w:rsidRPr="00F86200" w:rsidRDefault="00624628" w:rsidP="002D4FDD">
      <w:pPr>
        <w:rPr>
          <w:rFonts w:cs="Arial"/>
          <w:sz w:val="24"/>
          <w:szCs w:val="24"/>
        </w:rPr>
      </w:pPr>
      <w:r>
        <w:rPr>
          <w:sz w:val="24"/>
          <w:bdr w:val="nil"/>
        </w:rPr>
        <w:t xml:space="preserve">Neben der Formulierung von Empfehlungen klärt dieses Positionspapier genau, was wir unter Einrichtungen verstehen, welchen Schaden sie anrichten und welche Maßnahmen ergriffen werden müssen, um Fortschritte auf dem Weg zu einem wirklich selbstbestimmten Leben und zur Inklusion zu machen. </w:t>
      </w:r>
    </w:p>
    <w:p w14:paraId="5765D53E" w14:textId="77777777" w:rsidR="002D4FDD" w:rsidRPr="00623DD9" w:rsidRDefault="00624628" w:rsidP="002D4FDD">
      <w:pPr>
        <w:rPr>
          <w:rFonts w:cs="Arial"/>
          <w:sz w:val="24"/>
          <w:szCs w:val="24"/>
        </w:rPr>
      </w:pPr>
      <w:r>
        <w:rPr>
          <w:sz w:val="24"/>
          <w:bdr w:val="nil"/>
        </w:rPr>
        <w:t xml:space="preserve">Außerdem wird es erläutern, was andere Begriffe wie „selbstbestimmtes Leben“ und „Deinstitutionalisierung“ bedeuten und auf welche positiven Maßnahmen sich die EU und ihre </w:t>
      </w:r>
      <w:r>
        <w:rPr>
          <w:sz w:val="24"/>
          <w:bdr w:val="nil"/>
        </w:rPr>
        <w:lastRenderedPageBreak/>
        <w:t xml:space="preserve">Mitgliedstaaten konzentrieren sollten, um Personen mit Behinderungen den Übergang von segregierten Einrichtungen zu einem selbstbestimmten Leben zu ermöglichen. </w:t>
      </w:r>
    </w:p>
    <w:p w14:paraId="78B28270" w14:textId="77777777" w:rsidR="002D4FDD" w:rsidRPr="00AC03A8" w:rsidRDefault="002D4FDD" w:rsidP="002D4FDD"/>
    <w:p w14:paraId="7342F77F" w14:textId="77777777" w:rsidR="005E0F8E" w:rsidRDefault="005E0F8E" w:rsidP="002D4FDD">
      <w:pPr>
        <w:pStyle w:val="Titre3"/>
        <w:rPr>
          <w:rFonts w:eastAsia="Arial" w:cs="Arial"/>
          <w:szCs w:val="24"/>
          <w:bdr w:val="nil"/>
        </w:rPr>
      </w:pPr>
    </w:p>
    <w:p w14:paraId="6B1DCA3B" w14:textId="77777777" w:rsidR="002D4FDD" w:rsidRPr="00FE36CA" w:rsidRDefault="00624628" w:rsidP="002D4FDD">
      <w:pPr>
        <w:pStyle w:val="Titre3"/>
      </w:pPr>
      <w:bookmarkStart w:id="11" w:name="_Toc161062565"/>
      <w:r>
        <w:rPr>
          <w:bdr w:val="nil"/>
        </w:rPr>
        <w:t>Das Übereinkommen der Vereinten Nationen über die Rechte von Personen mit Behinderungen und der Allgemeine Kommentar Nr. 5</w:t>
      </w:r>
      <w:bookmarkEnd w:id="11"/>
      <w:r>
        <w:rPr>
          <w:bdr w:val="nil"/>
        </w:rPr>
        <w:t xml:space="preserve"> </w:t>
      </w:r>
    </w:p>
    <w:p w14:paraId="70E42674" w14:textId="77777777" w:rsidR="002D4FDD" w:rsidRDefault="00624628" w:rsidP="002D4FDD">
      <w:pPr>
        <w:rPr>
          <w:rFonts w:cs="Arial"/>
          <w:sz w:val="24"/>
          <w:szCs w:val="24"/>
        </w:rPr>
      </w:pPr>
      <w:r>
        <w:rPr>
          <w:sz w:val="24"/>
          <w:bdr w:val="nil"/>
        </w:rPr>
        <w:t xml:space="preserve">Die europäischen Länder haben eine beschämende Vergangenheit, was die Segregation und Institutionalisierung von Menschen mit Behinderungen betrifft. Während die Initiativen zur Schließung großer </w:t>
      </w:r>
      <w:proofErr w:type="spellStart"/>
      <w:r>
        <w:rPr>
          <w:sz w:val="24"/>
          <w:bdr w:val="nil"/>
        </w:rPr>
        <w:t>segregativer</w:t>
      </w:r>
      <w:proofErr w:type="spellEnd"/>
      <w:r>
        <w:rPr>
          <w:sz w:val="24"/>
          <w:bdr w:val="nil"/>
        </w:rPr>
        <w:t xml:space="preserve"> Einrichtungen und deren Ersatz durch ein Leben in Gemeinschaft bis in die 1970er-Jahre zurückreichen, ist die rechtliche Verpflichtung, das Recht auf ein selbstbestimmtes Leben zu gewährleisten, jüngeren Datums. </w:t>
      </w:r>
    </w:p>
    <w:p w14:paraId="7BA41511" w14:textId="77777777" w:rsidR="002D4FDD" w:rsidRPr="00623DD9" w:rsidRDefault="00624628" w:rsidP="002D4FDD">
      <w:pPr>
        <w:rPr>
          <w:rFonts w:cs="Arial"/>
          <w:sz w:val="24"/>
          <w:szCs w:val="24"/>
        </w:rPr>
      </w:pPr>
      <w:r>
        <w:rPr>
          <w:sz w:val="24"/>
          <w:bdr w:val="nil"/>
        </w:rPr>
        <w:t xml:space="preserve">Das </w:t>
      </w:r>
      <w:hyperlink r:id="rId12">
        <w:r>
          <w:rPr>
            <w:color w:val="0000FF"/>
            <w:sz w:val="24"/>
            <w:u w:val="single"/>
            <w:bdr w:val="nil"/>
          </w:rPr>
          <w:t>Übereinkommen über die Rechte von Menschen mit Behinderungen (UN-BRK)</w:t>
        </w:r>
      </w:hyperlink>
      <w:r>
        <w:rPr>
          <w:sz w:val="24"/>
          <w:bdr w:val="nil"/>
        </w:rPr>
        <w:t xml:space="preserve">, das inzwischen von allen EU-Mitgliedstaaten und den Beitrittsländern ratifiziert wurde, formuliert in </w:t>
      </w:r>
      <w:hyperlink r:id="rId13">
        <w:r>
          <w:rPr>
            <w:color w:val="0000FF"/>
            <w:sz w:val="24"/>
            <w:u w:val="single"/>
            <w:bdr w:val="nil"/>
          </w:rPr>
          <w:t>Artikel 19</w:t>
        </w:r>
      </w:hyperlink>
      <w:r>
        <w:rPr>
          <w:sz w:val="24"/>
          <w:bdr w:val="nil"/>
        </w:rPr>
        <w:t xml:space="preserve"> und im </w:t>
      </w:r>
      <w:hyperlink r:id="rId14">
        <w:r>
          <w:rPr>
            <w:color w:val="0000FF"/>
            <w:sz w:val="24"/>
            <w:u w:val="single"/>
            <w:bdr w:val="nil"/>
          </w:rPr>
          <w:t>Allgemeinen Kommentar Nr. 5</w:t>
        </w:r>
      </w:hyperlink>
      <w:r>
        <w:rPr>
          <w:sz w:val="24"/>
          <w:bdr w:val="nil"/>
        </w:rPr>
        <w:t xml:space="preserve"> das Recht auf ein selbstbestimmtes Leben und die Einbeziehung in die Gemeinschaft. Dieser Artikel wurde aufgenommen, weil man erkannt hat, dass es eine Verletzung ihrer Rechte, ihrer Entscheidungsfreiheit und ihrer Würde darstellt, wenn Menschen mit Behinderungen gezwungen werden, in Einrichtungen zusammenzuleben. Es hat sich auch als schädlich erwiesen, mit weit verbreiteten Fällen von Gewalt und Missbrauch, die wir im Folgenden näher erläutern. 2022 veröffentlichte der UN-BRK-Ausschuss außerdem </w:t>
      </w:r>
      <w:hyperlink r:id="rId15">
        <w:r>
          <w:rPr>
            <w:color w:val="0000FF"/>
            <w:sz w:val="24"/>
            <w:u w:val="single"/>
            <w:bdr w:val="nil"/>
          </w:rPr>
          <w:t>Richtlinien zur Deinstitutionalisierung, auch in Notsituationen</w:t>
        </w:r>
      </w:hyperlink>
      <w:r>
        <w:rPr>
          <w:sz w:val="24"/>
          <w:bdr w:val="nil"/>
        </w:rPr>
        <w:t>.</w:t>
      </w:r>
    </w:p>
    <w:p w14:paraId="60C920CA" w14:textId="77777777" w:rsidR="002D4FDD" w:rsidRPr="00FE36CA" w:rsidRDefault="002D4FDD" w:rsidP="002D4FDD"/>
    <w:p w14:paraId="1EFBC9B7" w14:textId="77777777" w:rsidR="002D4FDD" w:rsidRPr="00FE36CA" w:rsidRDefault="00624628" w:rsidP="002D4FDD">
      <w:pPr>
        <w:pStyle w:val="Titre3"/>
      </w:pPr>
      <w:bookmarkStart w:id="12" w:name="_Toc161062566"/>
      <w:r>
        <w:rPr>
          <w:bdr w:val="nil"/>
        </w:rPr>
        <w:t>Aktuelle Situation und politischer Kontext</w:t>
      </w:r>
      <w:bookmarkEnd w:id="12"/>
    </w:p>
    <w:p w14:paraId="3C762D46" w14:textId="77777777" w:rsidR="002D4FDD" w:rsidRPr="00623DD9" w:rsidRDefault="00624628" w:rsidP="002D4FDD">
      <w:pPr>
        <w:rPr>
          <w:rFonts w:cs="Arial"/>
          <w:sz w:val="24"/>
          <w:szCs w:val="24"/>
        </w:rPr>
      </w:pPr>
      <w:r>
        <w:rPr>
          <w:sz w:val="24"/>
          <w:bdr w:val="nil"/>
        </w:rPr>
        <w:t xml:space="preserve">Die EU hat die Bedeutung von Investitionen in den Übergang von Einrichtungen zu Nachbarschaftsdiensten anerkannt, indem sie verlangt, dass die </w:t>
      </w:r>
      <w:hyperlink r:id="rId16" w:history="1">
        <w:r>
          <w:rPr>
            <w:color w:val="0000FF"/>
            <w:sz w:val="24"/>
            <w:u w:val="single"/>
            <w:bdr w:val="nil"/>
          </w:rPr>
          <w:t>Struktur- und Entwicklungsfonds den Übergang von Einrichtungen fördern und Investitionen in die soziale Eingliederung anregen.</w:t>
        </w:r>
      </w:hyperlink>
      <w:r w:rsidR="002D4FDD" w:rsidRPr="00623DD9">
        <w:rPr>
          <w:rStyle w:val="Appelnotedebasdep"/>
          <w:sz w:val="24"/>
          <w:szCs w:val="24"/>
        </w:rPr>
        <w:footnoteReference w:id="1"/>
      </w:r>
      <w:r>
        <w:rPr>
          <w:sz w:val="24"/>
          <w:bdr w:val="nil"/>
        </w:rPr>
        <w:t xml:space="preserve"> Dennoch stagnierte der Fortschritt. In einem </w:t>
      </w:r>
      <w:hyperlink r:id="rId17" w:history="1">
        <w:r>
          <w:rPr>
            <w:color w:val="0000FF"/>
            <w:sz w:val="24"/>
            <w:u w:val="single"/>
            <w:bdr w:val="nil"/>
          </w:rPr>
          <w:t>von der Europäischen Kommission finanzierten Bericht aus dem Jahr 2020</w:t>
        </w:r>
      </w:hyperlink>
      <w:r>
        <w:rPr>
          <w:sz w:val="24"/>
          <w:bdr w:val="nil"/>
        </w:rPr>
        <w:t xml:space="preserve"> über den Stand der Deinstitutionalisierung in den 27 EU-Mitgliedstaaten kamen die Forscher unter anderem zu folgendem Ergebnis:</w:t>
      </w:r>
    </w:p>
    <w:p w14:paraId="1CB3AE53" w14:textId="77777777" w:rsidR="002D4FDD" w:rsidRDefault="005E0F8E" w:rsidP="002D4FDD">
      <w:pPr>
        <w:pStyle w:val="Paragraphedeliste"/>
        <w:numPr>
          <w:ilvl w:val="0"/>
          <w:numId w:val="7"/>
        </w:numPr>
        <w:rPr>
          <w:rFonts w:ascii="Arial" w:hAnsi="Arial" w:cs="Arial"/>
          <w:sz w:val="24"/>
          <w:szCs w:val="24"/>
        </w:rPr>
      </w:pPr>
      <w:r>
        <w:rPr>
          <w:rFonts w:ascii="Arial" w:hAnsi="Arial"/>
          <w:sz w:val="24"/>
          <w:bdr w:val="nil"/>
        </w:rPr>
        <w:t>In der EU leben noch mindestens 1.438.696 Personen in Einrichtungen, wobei es immer noch große Lücken bei der Erhebung zuverlässiger Daten gibt;</w:t>
      </w:r>
    </w:p>
    <w:p w14:paraId="34335C1A" w14:textId="77777777" w:rsidR="002D4FDD" w:rsidRPr="00F64687" w:rsidRDefault="005E0F8E" w:rsidP="002D4FDD">
      <w:pPr>
        <w:pStyle w:val="Paragraphedeliste"/>
        <w:numPr>
          <w:ilvl w:val="0"/>
          <w:numId w:val="7"/>
        </w:numPr>
        <w:rPr>
          <w:rFonts w:ascii="Arial" w:hAnsi="Arial" w:cs="Arial"/>
          <w:sz w:val="24"/>
          <w:szCs w:val="24"/>
        </w:rPr>
      </w:pPr>
      <w:r>
        <w:rPr>
          <w:rFonts w:ascii="Arial" w:hAnsi="Arial"/>
          <w:sz w:val="24"/>
          <w:bdr w:val="nil"/>
        </w:rPr>
        <w:t>Davon verbleiben mehr als 700.000 Menschen mit geistiger Behinderung in großen Einrichtungen, während Menschen mit komplexem Unterstützungsbedarf zurückgelassen werden</w:t>
      </w:r>
      <w:r w:rsidR="002D4FDD">
        <w:rPr>
          <w:rStyle w:val="Appelnotedebasdep"/>
          <w:rFonts w:ascii="Arial" w:hAnsi="Arial"/>
          <w:sz w:val="24"/>
          <w:szCs w:val="24"/>
        </w:rPr>
        <w:footnoteReference w:id="2"/>
      </w:r>
      <w:r>
        <w:rPr>
          <w:rFonts w:ascii="Arial" w:hAnsi="Arial"/>
          <w:sz w:val="24"/>
          <w:bdr w:val="nil"/>
        </w:rPr>
        <w:t>.</w:t>
      </w:r>
    </w:p>
    <w:p w14:paraId="316122E5" w14:textId="77777777" w:rsidR="002D4FDD" w:rsidRPr="00623DD9" w:rsidRDefault="005E0F8E" w:rsidP="002D4FDD">
      <w:pPr>
        <w:pStyle w:val="Paragraphedeliste"/>
        <w:numPr>
          <w:ilvl w:val="0"/>
          <w:numId w:val="7"/>
        </w:numPr>
        <w:rPr>
          <w:rFonts w:ascii="Arial" w:hAnsi="Arial" w:cs="Arial"/>
          <w:sz w:val="24"/>
          <w:szCs w:val="24"/>
        </w:rPr>
      </w:pPr>
      <w:r>
        <w:rPr>
          <w:rFonts w:ascii="Arial" w:hAnsi="Arial"/>
          <w:sz w:val="24"/>
          <w:bdr w:val="nil"/>
        </w:rPr>
        <w:lastRenderedPageBreak/>
        <w:t>Die Anzahl der Personen in Einrichtungen scheint sich in den letzten zehn Jahren nicht wesentlich verändert zu haben.</w:t>
      </w:r>
    </w:p>
    <w:p w14:paraId="76846FAC" w14:textId="77777777" w:rsidR="005E0F8E" w:rsidRDefault="005E0F8E" w:rsidP="002D4FDD">
      <w:pPr>
        <w:rPr>
          <w:rFonts w:eastAsia="Arial" w:cs="Arial"/>
          <w:sz w:val="24"/>
          <w:szCs w:val="24"/>
          <w:bdr w:val="nil"/>
        </w:rPr>
      </w:pPr>
    </w:p>
    <w:p w14:paraId="51BD1A6F" w14:textId="77777777" w:rsidR="005E0F8E" w:rsidRDefault="005E0F8E" w:rsidP="002D4FDD">
      <w:pPr>
        <w:rPr>
          <w:rFonts w:eastAsia="Arial" w:cs="Arial"/>
          <w:sz w:val="24"/>
          <w:szCs w:val="24"/>
          <w:bdr w:val="nil"/>
        </w:rPr>
      </w:pPr>
    </w:p>
    <w:p w14:paraId="5EAC0564" w14:textId="77777777" w:rsidR="005E0F8E" w:rsidRDefault="005E0F8E" w:rsidP="002D4FDD">
      <w:pPr>
        <w:rPr>
          <w:rFonts w:eastAsia="Arial" w:cs="Arial"/>
          <w:sz w:val="24"/>
          <w:szCs w:val="24"/>
          <w:bdr w:val="nil"/>
        </w:rPr>
      </w:pPr>
    </w:p>
    <w:p w14:paraId="0857AAD8" w14:textId="77777777" w:rsidR="002D4FDD" w:rsidRPr="00623DD9" w:rsidRDefault="00624628" w:rsidP="002D4FDD">
      <w:pPr>
        <w:rPr>
          <w:rFonts w:cs="Arial"/>
          <w:sz w:val="24"/>
          <w:szCs w:val="24"/>
        </w:rPr>
      </w:pPr>
      <w:r>
        <w:rPr>
          <w:sz w:val="24"/>
          <w:bdr w:val="nil"/>
        </w:rPr>
        <w:t xml:space="preserve">Die anhaltende Finanzierung der institutionellen Pflege durch die EU wurde kürzlich in dem </w:t>
      </w:r>
      <w:hyperlink r:id="rId18" w:history="1">
        <w:r>
          <w:rPr>
            <w:color w:val="0000FF"/>
            <w:sz w:val="24"/>
            <w:u w:val="single"/>
            <w:bdr w:val="nil"/>
          </w:rPr>
          <w:t>Bericht des UN-Sonderberichterstatters über die Rechte von Menschen mit Behinderungen über seinen Besuch in der Europäischen Union kritisiert</w:t>
        </w:r>
      </w:hyperlink>
      <w:r>
        <w:rPr>
          <w:sz w:val="24"/>
          <w:bdr w:val="nil"/>
        </w:rPr>
        <w:t xml:space="preserve">, der im Februar 2023 veröffentlicht wurde. </w:t>
      </w:r>
    </w:p>
    <w:p w14:paraId="2641C7F5" w14:textId="77777777" w:rsidR="002D4FDD" w:rsidRDefault="00624628" w:rsidP="002D4FDD">
      <w:pPr>
        <w:rPr>
          <w:rFonts w:cs="Arial"/>
        </w:rPr>
      </w:pPr>
      <w:r>
        <w:rPr>
          <w:sz w:val="24"/>
          <w:bdr w:val="nil"/>
        </w:rPr>
        <w:t xml:space="preserve">Die Europäische Kommission war schon vor der Veröffentlichung dieses Berichts über dieses Problem informiert und hat sich verpflichtet, die Art der Verwendung der Mittel für ein selbstbestimmtes Leben und die Einbeziehung in die Gemeinschaft zu verbessern. Im Rahmen der Europäischen Strategie für die Rechte von Menschen mit Behinderungen 2021-2030 hat sich die Kommission verpflichtet, neue Leitlinien für die EU-Mitgliedstaaten zum selbstbestimmten Leben und zur Inklusion in die Gemeinschaft zu schaffen. Ziel dieses Dokuments wird es sein, den Mitgliedstaaten praktische Anleitungen zu geben, wie sie die Voraussetzungen für ein selbstbestimmtes Leben entwickeln und </w:t>
      </w:r>
      <w:proofErr w:type="spellStart"/>
      <w:r>
        <w:rPr>
          <w:sz w:val="24"/>
          <w:bdr w:val="nil"/>
        </w:rPr>
        <w:t>Deinstitutionalisierungsprozesse</w:t>
      </w:r>
      <w:proofErr w:type="spellEnd"/>
      <w:r>
        <w:rPr>
          <w:sz w:val="24"/>
          <w:bdr w:val="nil"/>
        </w:rPr>
        <w:t xml:space="preserve"> erfolgreich abschließen können, wobei der Schwerpunkt darauf liegt, wie EU-Mittel zur Erreichung dieses Ziels eingesetzt werden können. </w:t>
      </w:r>
    </w:p>
    <w:p w14:paraId="44A0D147" w14:textId="77777777" w:rsidR="002D4FDD" w:rsidRPr="00623DD9" w:rsidRDefault="00624628" w:rsidP="002D4FDD">
      <w:pPr>
        <w:rPr>
          <w:rFonts w:cs="Arial"/>
          <w:sz w:val="24"/>
          <w:szCs w:val="24"/>
        </w:rPr>
      </w:pPr>
      <w:r>
        <w:rPr>
          <w:sz w:val="24"/>
          <w:bdr w:val="nil"/>
        </w:rPr>
        <w:t xml:space="preserve">Außerdem untersuchen die EU-Entscheidungsträger bereits bei der Vorbereitung des nächsten Siebenjahreshaushalts der EU, der 2028 beginnt (auch </w:t>
      </w:r>
      <w:hyperlink r:id="rId19" w:history="1">
        <w:r>
          <w:rPr>
            <w:color w:val="0000FF"/>
            <w:sz w:val="24"/>
            <w:u w:val="single"/>
            <w:bdr w:val="nil"/>
          </w:rPr>
          <w:t>Mehrjähriger Finanzrahmen</w:t>
        </w:r>
      </w:hyperlink>
      <w:r>
        <w:rPr>
          <w:sz w:val="24"/>
          <w:bdr w:val="nil"/>
        </w:rPr>
        <w:t xml:space="preserve"> genannt</w:t>
      </w:r>
      <w:r>
        <w:rPr>
          <w:color w:val="0000FF"/>
          <w:sz w:val="24"/>
          <w:szCs w:val="24"/>
          <w:u w:val="single"/>
          <w:bdr w:val="nil"/>
        </w:rPr>
        <w:t>)</w:t>
      </w:r>
      <w:r>
        <w:rPr>
          <w:sz w:val="24"/>
          <w:bdr w:val="nil"/>
        </w:rPr>
        <w:t>, erneut, wie die künftigen EU-Finanzierungsverordnungen mehr Klarheit darüber bieten können, wie nationale Behörden in die Inklusion von Menschen mit Behinderungen investieren sollten.</w:t>
      </w:r>
    </w:p>
    <w:p w14:paraId="68897160" w14:textId="77777777" w:rsidR="002D4FDD" w:rsidRPr="00623DD9" w:rsidRDefault="00624628" w:rsidP="002D4FDD">
      <w:pPr>
        <w:rPr>
          <w:rFonts w:cs="Arial"/>
          <w:sz w:val="24"/>
          <w:szCs w:val="24"/>
        </w:rPr>
      </w:pPr>
      <w:r>
        <w:rPr>
          <w:sz w:val="24"/>
          <w:bdr w:val="nil"/>
        </w:rPr>
        <w:t xml:space="preserve">Die EU-Finanzierung ist nicht nur für Investitionen in die Umstellung auf Nachbarschaftsdienste in der EU wichtig. Ebenso wichtig war und ist sie in außereuropäischen Ländern, in Ländern, die sich in der europäischen Region auf dem Weg zum EU-Beitritt befinden, und in Ländern auf der ganzen Welt, die von der Entwicklungszusammenarbeit und humanitären Hilfe der EU profitieren. </w:t>
      </w:r>
    </w:p>
    <w:p w14:paraId="7BCF4EE1" w14:textId="77777777" w:rsidR="002D4FDD" w:rsidRDefault="002D4FDD" w:rsidP="002D4FDD"/>
    <w:p w14:paraId="5B121A3A" w14:textId="77777777" w:rsidR="002D4FDD" w:rsidRPr="00FE36CA" w:rsidRDefault="002D4FDD" w:rsidP="002D4FDD"/>
    <w:p w14:paraId="60851316" w14:textId="77777777" w:rsidR="002D4FDD" w:rsidRPr="00FE36CA" w:rsidRDefault="00624628" w:rsidP="002D4FDD">
      <w:pPr>
        <w:pStyle w:val="Titre2"/>
        <w:numPr>
          <w:ilvl w:val="0"/>
          <w:numId w:val="20"/>
        </w:numPr>
        <w:jc w:val="center"/>
      </w:pPr>
      <w:bookmarkStart w:id="13" w:name="_Toc161062567"/>
      <w:r>
        <w:rPr>
          <w:bdr w:val="nil"/>
        </w:rPr>
        <w:t>Begriffsbestimmungen</w:t>
      </w:r>
      <w:bookmarkEnd w:id="13"/>
    </w:p>
    <w:p w14:paraId="6C3A2209" w14:textId="77777777" w:rsidR="002D4FDD" w:rsidRDefault="002D4FDD" w:rsidP="002D4FDD"/>
    <w:p w14:paraId="0D389474" w14:textId="77777777" w:rsidR="002D4FDD" w:rsidRPr="00FE36CA" w:rsidRDefault="00624628" w:rsidP="002D4FDD">
      <w:pPr>
        <w:pStyle w:val="Titre3"/>
      </w:pPr>
      <w:bookmarkStart w:id="14" w:name="_Toc161062568"/>
      <w:r>
        <w:rPr>
          <w:bdr w:val="nil"/>
        </w:rPr>
        <w:lastRenderedPageBreak/>
        <w:t>Selbstbestimmtes Leben</w:t>
      </w:r>
      <w:bookmarkEnd w:id="14"/>
    </w:p>
    <w:p w14:paraId="4EA3F03E" w14:textId="77777777" w:rsidR="002D4FDD" w:rsidRPr="002D4FDD" w:rsidRDefault="00624628" w:rsidP="002D4FDD">
      <w:pPr>
        <w:rPr>
          <w:rFonts w:cs="Arial"/>
          <w:color w:val="000000"/>
          <w:sz w:val="24"/>
          <w:szCs w:val="24"/>
        </w:rPr>
      </w:pPr>
      <w:r>
        <w:rPr>
          <w:color w:val="000000"/>
          <w:sz w:val="24"/>
          <w:bdr w:val="nil"/>
        </w:rPr>
        <w:t>Ein selbstbestimmtes Leben und die Inklusion in die Gemeinschaft sind Rechte, die die Ausübung aller anderen Rechte untermauern und ermöglichen. Es wird oft fälschlicherweise angenommen, dass ein selbstbestimmtes Leben bedeutet, dass man alles allein macht und ohne Hilfe zurechtkommt. In der Realität bedeutet dies, dass Menschen mit Behinderungen die gleichen Wahlmöglichkeiten und die gleiche Kontrolle über ihr tägliches Leben haben wie alle anderen Mitglieder der Gesellschaft.</w:t>
      </w:r>
    </w:p>
    <w:p w14:paraId="02446D05" w14:textId="77777777" w:rsidR="005E0F8E" w:rsidRDefault="00624628" w:rsidP="002D4FDD">
      <w:pPr>
        <w:rPr>
          <w:rFonts w:eastAsia="Arial" w:cs="Arial"/>
          <w:color w:val="000000"/>
          <w:sz w:val="24"/>
          <w:szCs w:val="24"/>
          <w:bdr w:val="nil"/>
        </w:rPr>
      </w:pPr>
      <w:r>
        <w:rPr>
          <w:color w:val="000000"/>
          <w:sz w:val="24"/>
          <w:bdr w:val="nil"/>
        </w:rPr>
        <w:t xml:space="preserve">Ein selbstbestimmtes Leben bedeutet, sein Leben nicht von anderen kontrollieren zu lassen. Dies bedeutet, dass Systeme geschaffen werden müssen, die es einer Person ermöglichen, ihre grundlegendsten </w:t>
      </w:r>
    </w:p>
    <w:p w14:paraId="1616FAE9" w14:textId="77777777" w:rsidR="005E0F8E" w:rsidRDefault="005E0F8E" w:rsidP="002D4FDD">
      <w:pPr>
        <w:rPr>
          <w:rFonts w:eastAsia="Arial" w:cs="Arial"/>
          <w:color w:val="000000"/>
          <w:sz w:val="24"/>
          <w:szCs w:val="24"/>
          <w:bdr w:val="nil"/>
        </w:rPr>
      </w:pPr>
    </w:p>
    <w:p w14:paraId="0AA488ED" w14:textId="77777777" w:rsidR="002D4FDD" w:rsidRPr="002D4FDD" w:rsidRDefault="00624628" w:rsidP="002D4FDD">
      <w:pPr>
        <w:rPr>
          <w:rFonts w:cs="Arial"/>
          <w:color w:val="000000"/>
          <w:sz w:val="24"/>
          <w:szCs w:val="24"/>
        </w:rPr>
      </w:pPr>
      <w:r>
        <w:rPr>
          <w:color w:val="000000"/>
          <w:sz w:val="24"/>
          <w:bdr w:val="nil"/>
        </w:rPr>
        <w:t>Menschenrechte zu genießen: das Recht zu bestimmen, wie sie ihr Leben lebt und welche Richtung sie einschlägt. Konkret geht es dabei meist um folgende Elemente:</w:t>
      </w:r>
    </w:p>
    <w:p w14:paraId="6525B321" w14:textId="77777777" w:rsidR="002D4FDD" w:rsidRPr="005C02C1" w:rsidRDefault="00624628" w:rsidP="002D4FDD">
      <w:pPr>
        <w:numPr>
          <w:ilvl w:val="0"/>
          <w:numId w:val="22"/>
        </w:numPr>
        <w:spacing w:after="160" w:line="259" w:lineRule="auto"/>
        <w:contextualSpacing/>
        <w:rPr>
          <w:rFonts w:cs="Arial"/>
          <w:sz w:val="24"/>
          <w:szCs w:val="24"/>
        </w:rPr>
      </w:pPr>
      <w:r>
        <w:rPr>
          <w:sz w:val="24"/>
          <w:bdr w:val="nil"/>
        </w:rPr>
        <w:t xml:space="preserve">Wahl und Kontrolle des Lebensortes; </w:t>
      </w:r>
    </w:p>
    <w:p w14:paraId="7255DA51" w14:textId="77777777" w:rsidR="002D4FDD" w:rsidRPr="005C02C1" w:rsidRDefault="00624628" w:rsidP="002D4FDD">
      <w:pPr>
        <w:numPr>
          <w:ilvl w:val="0"/>
          <w:numId w:val="22"/>
        </w:numPr>
        <w:spacing w:after="160" w:line="259" w:lineRule="auto"/>
        <w:contextualSpacing/>
        <w:rPr>
          <w:rFonts w:cs="Arial"/>
          <w:sz w:val="24"/>
          <w:szCs w:val="24"/>
        </w:rPr>
      </w:pPr>
      <w:r>
        <w:rPr>
          <w:sz w:val="24"/>
          <w:bdr w:val="nil"/>
        </w:rPr>
        <w:t xml:space="preserve">Wahl und Kontrolle der Person, mit der man zusammenlebt; </w:t>
      </w:r>
    </w:p>
    <w:p w14:paraId="62A553C1" w14:textId="77777777" w:rsidR="002D4FDD" w:rsidRPr="005C02C1" w:rsidRDefault="00624628" w:rsidP="002D4FDD">
      <w:pPr>
        <w:numPr>
          <w:ilvl w:val="0"/>
          <w:numId w:val="22"/>
        </w:numPr>
        <w:spacing w:after="160" w:line="259" w:lineRule="auto"/>
        <w:contextualSpacing/>
        <w:rPr>
          <w:rFonts w:cs="Arial"/>
          <w:sz w:val="24"/>
          <w:szCs w:val="24"/>
        </w:rPr>
      </w:pPr>
      <w:r>
        <w:rPr>
          <w:sz w:val="24"/>
          <w:bdr w:val="nil"/>
        </w:rPr>
        <w:t xml:space="preserve">Die Wahl und die Kontrolle über die Dauer des Lebens vor Ort; </w:t>
      </w:r>
    </w:p>
    <w:p w14:paraId="7B8AF68A" w14:textId="77777777" w:rsidR="002D4FDD" w:rsidRPr="005C02C1" w:rsidRDefault="00624628" w:rsidP="002D4FDD">
      <w:pPr>
        <w:numPr>
          <w:ilvl w:val="0"/>
          <w:numId w:val="22"/>
        </w:numPr>
        <w:spacing w:after="160" w:line="259" w:lineRule="auto"/>
        <w:contextualSpacing/>
        <w:rPr>
          <w:rFonts w:cs="Arial"/>
          <w:sz w:val="24"/>
          <w:szCs w:val="24"/>
        </w:rPr>
      </w:pPr>
      <w:r>
        <w:rPr>
          <w:sz w:val="24"/>
          <w:bdr w:val="nil"/>
        </w:rPr>
        <w:t xml:space="preserve">Zugang zu persönlichem Eigentum; </w:t>
      </w:r>
    </w:p>
    <w:p w14:paraId="1D210DC3" w14:textId="77777777" w:rsidR="002D4FDD" w:rsidRPr="005C02C1" w:rsidRDefault="00624628" w:rsidP="002D4FDD">
      <w:pPr>
        <w:numPr>
          <w:ilvl w:val="0"/>
          <w:numId w:val="22"/>
        </w:numPr>
        <w:spacing w:after="160" w:line="259" w:lineRule="auto"/>
        <w:contextualSpacing/>
        <w:rPr>
          <w:rFonts w:cs="Arial"/>
          <w:sz w:val="24"/>
          <w:szCs w:val="24"/>
        </w:rPr>
      </w:pPr>
      <w:r>
        <w:rPr>
          <w:sz w:val="24"/>
          <w:bdr w:val="nil"/>
        </w:rPr>
        <w:t xml:space="preserve">Wahl und Kontrolle der erhaltenen Unterstützung; </w:t>
      </w:r>
    </w:p>
    <w:p w14:paraId="1819AE9C" w14:textId="77777777" w:rsidR="002D4FDD" w:rsidRPr="005C02C1" w:rsidRDefault="00624628" w:rsidP="002D4FDD">
      <w:pPr>
        <w:numPr>
          <w:ilvl w:val="0"/>
          <w:numId w:val="22"/>
        </w:numPr>
        <w:spacing w:after="160" w:line="259" w:lineRule="auto"/>
        <w:contextualSpacing/>
        <w:rPr>
          <w:rFonts w:cs="Arial"/>
          <w:sz w:val="24"/>
          <w:szCs w:val="24"/>
        </w:rPr>
      </w:pPr>
      <w:r>
        <w:rPr>
          <w:sz w:val="24"/>
          <w:bdr w:val="nil"/>
        </w:rPr>
        <w:t xml:space="preserve">Wahl und Kontrolle der Person, die die Dienste im Bedarfsfall erbringt; </w:t>
      </w:r>
    </w:p>
    <w:p w14:paraId="2C4C5610" w14:textId="77777777" w:rsidR="002D4FDD" w:rsidRPr="005C02C1" w:rsidRDefault="00624628" w:rsidP="002D4FDD">
      <w:pPr>
        <w:numPr>
          <w:ilvl w:val="0"/>
          <w:numId w:val="22"/>
        </w:numPr>
        <w:spacing w:after="160" w:line="259" w:lineRule="auto"/>
        <w:contextualSpacing/>
        <w:rPr>
          <w:rFonts w:cs="Arial"/>
          <w:sz w:val="24"/>
          <w:szCs w:val="24"/>
        </w:rPr>
      </w:pPr>
      <w:r>
        <w:rPr>
          <w:sz w:val="24"/>
          <w:bdr w:val="nil"/>
        </w:rPr>
        <w:t xml:space="preserve">Wahl der eigenen Freunde und Beziehungen; </w:t>
      </w:r>
    </w:p>
    <w:p w14:paraId="078E70EB" w14:textId="77777777" w:rsidR="002D4FDD" w:rsidRPr="005C02C1" w:rsidRDefault="00624628" w:rsidP="002D4FDD">
      <w:pPr>
        <w:numPr>
          <w:ilvl w:val="0"/>
          <w:numId w:val="22"/>
        </w:numPr>
        <w:spacing w:after="160" w:line="259" w:lineRule="auto"/>
        <w:contextualSpacing/>
        <w:rPr>
          <w:rFonts w:cs="Arial"/>
          <w:sz w:val="24"/>
          <w:szCs w:val="24"/>
        </w:rPr>
      </w:pPr>
      <w:r>
        <w:rPr>
          <w:sz w:val="24"/>
          <w:bdr w:val="nil"/>
        </w:rPr>
        <w:t xml:space="preserve">Die Wahl, wie man gesund und sicher sein kann; </w:t>
      </w:r>
    </w:p>
    <w:p w14:paraId="7E8E9752" w14:textId="77777777" w:rsidR="002D4FDD" w:rsidRDefault="00624628" w:rsidP="002D4FDD">
      <w:pPr>
        <w:numPr>
          <w:ilvl w:val="0"/>
          <w:numId w:val="22"/>
        </w:numPr>
        <w:spacing w:after="160" w:line="259" w:lineRule="auto"/>
        <w:contextualSpacing/>
        <w:rPr>
          <w:rFonts w:cs="Arial"/>
          <w:sz w:val="24"/>
          <w:szCs w:val="24"/>
        </w:rPr>
      </w:pPr>
      <w:r>
        <w:rPr>
          <w:sz w:val="24"/>
          <w:bdr w:val="nil"/>
        </w:rPr>
        <w:t xml:space="preserve">Wahl und Kontrolle darüber, wie man am Leben der Gemeinschaft teilnimmt; </w:t>
      </w:r>
    </w:p>
    <w:p w14:paraId="3F502E95" w14:textId="77777777" w:rsidR="002D4FDD" w:rsidRPr="005C02C1" w:rsidRDefault="00624628" w:rsidP="002D4FDD">
      <w:pPr>
        <w:numPr>
          <w:ilvl w:val="0"/>
          <w:numId w:val="22"/>
        </w:numPr>
        <w:spacing w:after="160" w:line="259" w:lineRule="auto"/>
        <w:contextualSpacing/>
        <w:rPr>
          <w:rFonts w:cs="Arial"/>
          <w:sz w:val="24"/>
          <w:szCs w:val="24"/>
        </w:rPr>
      </w:pPr>
      <w:r>
        <w:rPr>
          <w:sz w:val="24"/>
          <w:bdr w:val="nil"/>
        </w:rPr>
        <w:t>Kontrolle darüber, wie Sie Probleme lösen können, die Sie betreffen (z. B. Probleme in der Familie oder in einem Lebensumfeld)</w:t>
      </w:r>
    </w:p>
    <w:p w14:paraId="0217E578" w14:textId="77777777" w:rsidR="002D4FDD" w:rsidRPr="00532E25" w:rsidRDefault="00624628" w:rsidP="002D4FDD">
      <w:pPr>
        <w:numPr>
          <w:ilvl w:val="0"/>
          <w:numId w:val="22"/>
        </w:numPr>
        <w:spacing w:after="160" w:line="259" w:lineRule="auto"/>
        <w:contextualSpacing/>
        <w:rPr>
          <w:rFonts w:cs="Arial"/>
          <w:sz w:val="24"/>
          <w:szCs w:val="24"/>
        </w:rPr>
      </w:pPr>
      <w:r>
        <w:rPr>
          <w:sz w:val="24"/>
          <w:bdr w:val="nil"/>
        </w:rPr>
        <w:t>Die gleichen Rechte und Pflichten wie andere Bürger haben</w:t>
      </w:r>
      <w:r w:rsidR="002D4FDD">
        <w:rPr>
          <w:rStyle w:val="Appelnotedebasdep"/>
          <w:sz w:val="24"/>
          <w:szCs w:val="24"/>
        </w:rPr>
        <w:footnoteReference w:id="3"/>
      </w:r>
    </w:p>
    <w:p w14:paraId="69CAF02D" w14:textId="77777777" w:rsidR="002D4FDD" w:rsidRPr="002D4FDD" w:rsidRDefault="002D4FDD" w:rsidP="002D4FDD">
      <w:pPr>
        <w:rPr>
          <w:rFonts w:cs="Arial"/>
          <w:color w:val="000000"/>
          <w:sz w:val="24"/>
          <w:szCs w:val="24"/>
        </w:rPr>
      </w:pPr>
    </w:p>
    <w:p w14:paraId="296CE869" w14:textId="77777777" w:rsidR="002D4FDD" w:rsidRPr="002D4FDD" w:rsidRDefault="00624628" w:rsidP="002D4FDD">
      <w:pPr>
        <w:rPr>
          <w:rFonts w:cs="Arial"/>
          <w:color w:val="000000"/>
          <w:sz w:val="24"/>
          <w:szCs w:val="24"/>
        </w:rPr>
      </w:pPr>
      <w:r>
        <w:rPr>
          <w:color w:val="000000"/>
          <w:sz w:val="24"/>
          <w:bdr w:val="nil"/>
        </w:rPr>
        <w:t xml:space="preserve">Ein selbstbestimmtes Leben bedeutet also, die nötige Unterstützung zu haben und echte Entscheidungen treffen zu können. Dies bedeutet, dass die bebaute Umwelt, der Verkehr und die Information zugänglich sein müssen und dass es technische Hilfen, Zugang zu persönlicher Assistenz und/oder Nachbarschaftsdiensten gibt. Das Recht auf Rechtsfähigkeit und ggf. auf eine unterstützte Entscheidungsfindung ist eine Voraussetzung dafür, dass jeder Mensch Entscheidungen über sein Leben treffen kann. </w:t>
      </w:r>
    </w:p>
    <w:p w14:paraId="521CCA80" w14:textId="77777777" w:rsidR="002D4FDD" w:rsidRPr="00FE36CA" w:rsidRDefault="002D4FDD" w:rsidP="002D4FDD"/>
    <w:p w14:paraId="35917FD8" w14:textId="77777777" w:rsidR="002D4FDD" w:rsidRPr="00FE36CA" w:rsidRDefault="00624628" w:rsidP="002D4FDD">
      <w:pPr>
        <w:pStyle w:val="Titre3"/>
      </w:pPr>
      <w:bookmarkStart w:id="15" w:name="_Toc161062569"/>
      <w:r>
        <w:rPr>
          <w:bdr w:val="nil"/>
        </w:rPr>
        <w:lastRenderedPageBreak/>
        <w:t>Einrichtungen</w:t>
      </w:r>
      <w:bookmarkEnd w:id="15"/>
    </w:p>
    <w:p w14:paraId="29E2582A" w14:textId="77777777" w:rsidR="002D4FDD" w:rsidRPr="00623DD9" w:rsidRDefault="00624628" w:rsidP="002D4FDD">
      <w:pPr>
        <w:rPr>
          <w:rFonts w:cs="Arial"/>
          <w:sz w:val="24"/>
          <w:szCs w:val="24"/>
        </w:rPr>
      </w:pPr>
      <w:r>
        <w:rPr>
          <w:color w:val="000000"/>
          <w:sz w:val="24"/>
          <w:bdr w:val="nil"/>
        </w:rPr>
        <w:t xml:space="preserve">Einrichtungen sind gemäß ihrer unten aufgeführten Definition nicht mit einem selbstbestimmten Leben vereinbar. </w:t>
      </w:r>
      <w:r>
        <w:rPr>
          <w:sz w:val="24"/>
          <w:bdr w:val="nil"/>
        </w:rPr>
        <w:t>Laut dem UN-Ausschuss für die Rechte von Menschen mit Behinderungen wird eine Einrichtung durch eine Reihe von Elementen definiert. Diese umfassen:</w:t>
      </w:r>
    </w:p>
    <w:p w14:paraId="6B5CFCCD" w14:textId="77777777" w:rsidR="002D4FDD" w:rsidRPr="006B1FF0" w:rsidRDefault="005E0F8E" w:rsidP="002D4FDD">
      <w:pPr>
        <w:pStyle w:val="Paragraphedeliste"/>
        <w:numPr>
          <w:ilvl w:val="1"/>
          <w:numId w:val="4"/>
        </w:numPr>
        <w:ind w:left="1077" w:hanging="357"/>
        <w:rPr>
          <w:rFonts w:ascii="Arial" w:hAnsi="Arial" w:cs="Arial"/>
          <w:sz w:val="24"/>
          <w:szCs w:val="24"/>
        </w:rPr>
      </w:pPr>
      <w:r>
        <w:rPr>
          <w:rFonts w:ascii="Arial" w:hAnsi="Arial"/>
          <w:sz w:val="24"/>
          <w:bdr w:val="nil"/>
        </w:rPr>
        <w:t xml:space="preserve">Isolation und Segregation von der Gemeinschaft; </w:t>
      </w:r>
    </w:p>
    <w:p w14:paraId="695B317E" w14:textId="77777777" w:rsidR="002D4FDD" w:rsidRDefault="005E0F8E" w:rsidP="002D4FDD">
      <w:pPr>
        <w:pStyle w:val="Paragraphedeliste"/>
        <w:numPr>
          <w:ilvl w:val="1"/>
          <w:numId w:val="4"/>
        </w:numPr>
        <w:ind w:left="1077" w:hanging="357"/>
        <w:rPr>
          <w:rFonts w:ascii="Arial" w:hAnsi="Arial" w:cs="Arial"/>
          <w:sz w:val="24"/>
          <w:szCs w:val="24"/>
        </w:rPr>
      </w:pPr>
      <w:r>
        <w:rPr>
          <w:rFonts w:ascii="Arial" w:hAnsi="Arial"/>
          <w:sz w:val="24"/>
          <w:bdr w:val="nil"/>
        </w:rPr>
        <w:t xml:space="preserve">Kein oder nur begrenzter Einfluss auf die Personen, deren Hilfe man annehmen muss; </w:t>
      </w:r>
    </w:p>
    <w:p w14:paraId="6A8693B3" w14:textId="77777777" w:rsidR="002D4FDD" w:rsidRPr="00CE433C" w:rsidRDefault="005E0F8E" w:rsidP="002D4FDD">
      <w:pPr>
        <w:pStyle w:val="Paragraphedeliste"/>
        <w:numPr>
          <w:ilvl w:val="1"/>
          <w:numId w:val="4"/>
        </w:numPr>
        <w:ind w:left="1077" w:hanging="357"/>
        <w:rPr>
          <w:rFonts w:ascii="Arial" w:hAnsi="Arial" w:cs="Arial"/>
          <w:sz w:val="24"/>
          <w:szCs w:val="24"/>
        </w:rPr>
      </w:pPr>
      <w:r>
        <w:rPr>
          <w:rFonts w:ascii="Arial" w:hAnsi="Arial"/>
          <w:sz w:val="24"/>
          <w:bdr w:val="nil"/>
        </w:rPr>
        <w:t>Obligatorische gemeinsame Nutzung von Assistenten mit anderen Personen (einen Assistenten zu haben, der mehreren Personen gleichzeitig hilft), was bedeutet, dass eine Person nicht an Aktivitäten teilnehmen kann, die sich von denen der Personen unterscheiden, mit denen sie die Assistenz teilt;</w:t>
      </w:r>
    </w:p>
    <w:p w14:paraId="47DD2D91" w14:textId="77777777" w:rsidR="00FA3613" w:rsidRPr="00FA3613" w:rsidRDefault="00FA3613" w:rsidP="00FA3613">
      <w:pPr>
        <w:pStyle w:val="Paragraphedeliste"/>
        <w:ind w:left="1077"/>
        <w:rPr>
          <w:rFonts w:ascii="Arial" w:hAnsi="Arial" w:cs="Arial"/>
          <w:sz w:val="24"/>
          <w:szCs w:val="24"/>
        </w:rPr>
      </w:pPr>
    </w:p>
    <w:p w14:paraId="0B29F0F7" w14:textId="77777777" w:rsidR="00FA3613" w:rsidRPr="00FA3613" w:rsidRDefault="00FA3613" w:rsidP="00FA3613">
      <w:pPr>
        <w:pStyle w:val="Paragraphedeliste"/>
        <w:ind w:left="1077"/>
        <w:rPr>
          <w:rFonts w:ascii="Arial" w:hAnsi="Arial" w:cs="Arial"/>
          <w:sz w:val="24"/>
          <w:szCs w:val="24"/>
        </w:rPr>
      </w:pPr>
    </w:p>
    <w:p w14:paraId="630DECAD" w14:textId="77777777" w:rsidR="002D4FDD" w:rsidRPr="00623DD9" w:rsidRDefault="00FA3613" w:rsidP="002D4FDD">
      <w:pPr>
        <w:pStyle w:val="Paragraphedeliste"/>
        <w:numPr>
          <w:ilvl w:val="1"/>
          <w:numId w:val="4"/>
        </w:numPr>
        <w:ind w:left="1077" w:hanging="357"/>
        <w:rPr>
          <w:rFonts w:ascii="Arial" w:hAnsi="Arial" w:cs="Arial"/>
          <w:sz w:val="24"/>
          <w:szCs w:val="24"/>
        </w:rPr>
      </w:pPr>
      <w:r>
        <w:rPr>
          <w:rFonts w:ascii="Arial" w:hAnsi="Arial"/>
          <w:sz w:val="24"/>
          <w:bdr w:val="nil"/>
        </w:rPr>
        <w:t>Der Mangel an Kontrolle über alltägliche Entscheidungen, wie z. B. wann man aufsteht, was man isst, mit wem man seine Freizeit verbringt usw.;</w:t>
      </w:r>
    </w:p>
    <w:p w14:paraId="283D847D" w14:textId="77777777" w:rsidR="002D4FDD" w:rsidRPr="00623DD9" w:rsidRDefault="00FA3613" w:rsidP="002D4FDD">
      <w:pPr>
        <w:pStyle w:val="Paragraphedeliste"/>
        <w:numPr>
          <w:ilvl w:val="1"/>
          <w:numId w:val="4"/>
        </w:numPr>
        <w:ind w:left="1077" w:hanging="357"/>
        <w:rPr>
          <w:rFonts w:ascii="Arial" w:hAnsi="Arial" w:cs="Arial"/>
          <w:sz w:val="24"/>
          <w:szCs w:val="24"/>
        </w:rPr>
      </w:pPr>
      <w:r>
        <w:rPr>
          <w:rFonts w:ascii="Arial" w:hAnsi="Arial"/>
          <w:sz w:val="24"/>
          <w:bdr w:val="nil"/>
        </w:rPr>
        <w:t>Fehlende Wahlmöglichkeit, mit wem man zusammenleben möchte;</w:t>
      </w:r>
    </w:p>
    <w:p w14:paraId="5B106881" w14:textId="77777777" w:rsidR="002D4FDD" w:rsidRPr="00623DD9" w:rsidRDefault="00FA3613" w:rsidP="002D4FDD">
      <w:pPr>
        <w:pStyle w:val="Paragraphedeliste"/>
        <w:numPr>
          <w:ilvl w:val="1"/>
          <w:numId w:val="4"/>
        </w:numPr>
        <w:ind w:left="1077" w:hanging="357"/>
        <w:rPr>
          <w:rFonts w:ascii="Arial" w:hAnsi="Arial" w:cs="Arial"/>
          <w:sz w:val="24"/>
          <w:szCs w:val="24"/>
        </w:rPr>
      </w:pPr>
      <w:r>
        <w:rPr>
          <w:rFonts w:ascii="Arial" w:hAnsi="Arial"/>
          <w:sz w:val="24"/>
          <w:bdr w:val="nil"/>
        </w:rPr>
        <w:t>Nicht frei entscheiden können, wann man Freunde oder Verwandte besucht, oder erleben, dass diese Entscheidung von jemand anderem getroffen wird;</w:t>
      </w:r>
    </w:p>
    <w:p w14:paraId="1F860671" w14:textId="77777777" w:rsidR="002D4FDD" w:rsidRPr="00623DD9" w:rsidRDefault="00FA3613" w:rsidP="002D4FDD">
      <w:pPr>
        <w:pStyle w:val="Paragraphedeliste"/>
        <w:numPr>
          <w:ilvl w:val="1"/>
          <w:numId w:val="4"/>
        </w:numPr>
        <w:ind w:left="1077" w:hanging="357"/>
        <w:rPr>
          <w:rFonts w:ascii="Arial" w:hAnsi="Arial" w:cs="Arial"/>
          <w:sz w:val="24"/>
          <w:szCs w:val="24"/>
        </w:rPr>
      </w:pPr>
      <w:r>
        <w:rPr>
          <w:rFonts w:ascii="Arial" w:hAnsi="Arial"/>
          <w:sz w:val="24"/>
          <w:bdr w:val="nil"/>
        </w:rPr>
        <w:t xml:space="preserve">Einschränkungen, ob und wann Gäste empfangen werden dürfen; </w:t>
      </w:r>
    </w:p>
    <w:p w14:paraId="73B1CDE7" w14:textId="77777777" w:rsidR="002D4FDD" w:rsidRPr="00623DD9" w:rsidRDefault="00FA3613" w:rsidP="002D4FDD">
      <w:pPr>
        <w:pStyle w:val="Paragraphedeliste"/>
        <w:numPr>
          <w:ilvl w:val="1"/>
          <w:numId w:val="4"/>
        </w:numPr>
        <w:ind w:left="1077" w:hanging="357"/>
        <w:rPr>
          <w:rFonts w:ascii="Arial" w:hAnsi="Arial" w:cs="Arial"/>
          <w:sz w:val="24"/>
          <w:szCs w:val="24"/>
        </w:rPr>
      </w:pPr>
      <w:r>
        <w:rPr>
          <w:rFonts w:ascii="Arial" w:hAnsi="Arial"/>
          <w:sz w:val="24"/>
          <w:bdr w:val="nil"/>
        </w:rPr>
        <w:t xml:space="preserve">Starre Routine, unabhängig vom Willen und von persönlichen Vorlieben; </w:t>
      </w:r>
    </w:p>
    <w:p w14:paraId="0735013F" w14:textId="77777777" w:rsidR="002D4FDD" w:rsidRPr="00623DD9" w:rsidRDefault="00624628" w:rsidP="002D4FDD">
      <w:pPr>
        <w:pStyle w:val="Paragraphedeliste"/>
        <w:numPr>
          <w:ilvl w:val="1"/>
          <w:numId w:val="4"/>
        </w:numPr>
        <w:ind w:left="1077" w:hanging="357"/>
        <w:rPr>
          <w:rFonts w:ascii="Arial" w:hAnsi="Arial" w:cs="Arial"/>
          <w:sz w:val="24"/>
          <w:szCs w:val="24"/>
        </w:rPr>
      </w:pPr>
      <w:r>
        <w:rPr>
          <w:rFonts w:ascii="Arial" w:hAnsi="Arial"/>
          <w:sz w:val="24"/>
          <w:bdr w:val="nil"/>
        </w:rPr>
        <w:t xml:space="preserve">Auferlegung von Gruppenaktivitäten unter der Aufsicht des Dienstleisters. </w:t>
      </w:r>
    </w:p>
    <w:p w14:paraId="177D77C6" w14:textId="77777777" w:rsidR="002D4FDD" w:rsidRPr="00623DD9" w:rsidRDefault="002D4FDD" w:rsidP="002D4FDD">
      <w:pPr>
        <w:pStyle w:val="Paragraphedeliste"/>
        <w:ind w:left="1440"/>
        <w:rPr>
          <w:rFonts w:ascii="Arial" w:hAnsi="Arial" w:cs="Arial"/>
          <w:sz w:val="24"/>
          <w:szCs w:val="24"/>
          <w:highlight w:val="yellow"/>
        </w:rPr>
      </w:pPr>
    </w:p>
    <w:p w14:paraId="4368AF03" w14:textId="77777777" w:rsidR="002D4FDD" w:rsidRPr="00623DD9" w:rsidRDefault="00624628" w:rsidP="002D4FDD">
      <w:pPr>
        <w:pStyle w:val="SingleTxtG"/>
        <w:ind w:left="0" w:right="-46"/>
        <w:rPr>
          <w:rFonts w:ascii="Arial" w:hAnsi="Arial" w:cs="Arial"/>
          <w:sz w:val="24"/>
          <w:szCs w:val="24"/>
        </w:rPr>
      </w:pPr>
      <w:r>
        <w:rPr>
          <w:rFonts w:ascii="Arial" w:hAnsi="Arial"/>
          <w:sz w:val="24"/>
          <w:bdr w:val="nil"/>
        </w:rPr>
        <w:t xml:space="preserve">Das Fehlen, die Reform oder die Abschaffung eines oder mehrerer institutioneller Elemente allein kann ein Umfeld nicht als gemeinschaftlich charakterisieren. </w:t>
      </w:r>
    </w:p>
    <w:p w14:paraId="220ED5E4" w14:textId="77777777" w:rsidR="002D4FDD" w:rsidRPr="00623DD9" w:rsidRDefault="00624628" w:rsidP="002D4FDD">
      <w:pPr>
        <w:rPr>
          <w:rFonts w:cs="Arial"/>
          <w:sz w:val="24"/>
          <w:szCs w:val="24"/>
        </w:rPr>
      </w:pPr>
      <w:r>
        <w:rPr>
          <w:sz w:val="24"/>
          <w:bdr w:val="nil"/>
        </w:rPr>
        <w:t>Es ist zu beachten, dass eine Einrichtung jede beliebige Größe haben kann</w:t>
      </w:r>
      <w:r w:rsidR="002D4FDD">
        <w:rPr>
          <w:rStyle w:val="Appelnotedebasdep"/>
          <w:sz w:val="24"/>
          <w:szCs w:val="24"/>
        </w:rPr>
        <w:footnoteReference w:id="4"/>
      </w:r>
      <w:r>
        <w:rPr>
          <w:sz w:val="24"/>
          <w:bdr w:val="nil"/>
        </w:rPr>
        <w:t>. Eine Einrichtung zeichnet sich dadurch aus, dass sie eines oder mehrere der oben aufgeführten Merkmale aufweist. Wie wir in unserem Abschnitt über Menschenrechte betonen werden, bedeutet dies, dass selbst Menschen, die in der Gemeinschaft leben, auch mit ihren Familien, letztendlich institutionalisiert werden können, wenn ihre Freiheit, ihr Leben selbst zu wählen und zu kontrollieren, nicht respektiert wird.</w:t>
      </w:r>
    </w:p>
    <w:p w14:paraId="2E305077" w14:textId="77777777" w:rsidR="002D4FDD" w:rsidRPr="00FE36CA" w:rsidRDefault="002D4FDD" w:rsidP="002D4FDD">
      <w:pPr>
        <w:rPr>
          <w:rFonts w:cs="Arial"/>
        </w:rPr>
      </w:pPr>
    </w:p>
    <w:p w14:paraId="0E8BA765" w14:textId="77777777" w:rsidR="002D4FDD" w:rsidRPr="00FE36CA" w:rsidRDefault="00624628" w:rsidP="002D4FDD">
      <w:pPr>
        <w:pStyle w:val="Titre3"/>
      </w:pPr>
      <w:bookmarkStart w:id="16" w:name="_Toc161062570"/>
      <w:r>
        <w:rPr>
          <w:bdr w:val="nil"/>
        </w:rPr>
        <w:t>Deinstitutionalisierung und Übergang von der Einrichtung zum Gemeinschaftsleben</w:t>
      </w:r>
      <w:bookmarkEnd w:id="16"/>
      <w:r>
        <w:rPr>
          <w:bdr w:val="nil"/>
        </w:rPr>
        <w:t xml:space="preserve"> </w:t>
      </w:r>
    </w:p>
    <w:p w14:paraId="1EA19015" w14:textId="77777777" w:rsidR="002D4FDD" w:rsidRPr="007B6E65" w:rsidRDefault="00624628" w:rsidP="002D4FDD">
      <w:pPr>
        <w:rPr>
          <w:rFonts w:cs="Arial"/>
          <w:sz w:val="24"/>
          <w:szCs w:val="24"/>
        </w:rPr>
      </w:pPr>
      <w:r>
        <w:rPr>
          <w:sz w:val="24"/>
          <w:bdr w:val="nil"/>
        </w:rPr>
        <w:t xml:space="preserve">Wir verwenden häufig den Begriff „Deinstitutionalisierung“. Dazu gehören der Prozess der Schließung von Einrichtungen, die Entwicklung hin zu einem selbstbestimmten Leben mit den erforderlichen Nachbarschaftsdiensten und die Vermeidung der Unterbringung von Menschen mit Behinderungen in Einrichtungen. Der Übergang von einer institutionellen Betreuung zu </w:t>
      </w:r>
      <w:r>
        <w:rPr>
          <w:sz w:val="24"/>
          <w:bdr w:val="nil"/>
        </w:rPr>
        <w:lastRenderedPageBreak/>
        <w:t xml:space="preserve">einem selbstbestimmten Leben und der Einbeziehung in die Gemeinschaft ist jedoch eine Veränderung. Dies spiegelt die Tatsache wider, dass die Einrichtungen einen detaillierten Plan für die Schließung verlangen, der die Unterstützung der Betroffenen, den Übergang in eine Wohnung in der Gemeinschaft und die Einrichtung personenzentrierter Unterstützungssysteme beinhaltet. </w:t>
      </w:r>
    </w:p>
    <w:p w14:paraId="3721268F" w14:textId="77777777" w:rsidR="002D4FDD" w:rsidRPr="007B6E65" w:rsidRDefault="00624628" w:rsidP="002D4FDD">
      <w:pPr>
        <w:rPr>
          <w:rFonts w:cs="Arial"/>
          <w:sz w:val="24"/>
          <w:szCs w:val="24"/>
        </w:rPr>
      </w:pPr>
      <w:r>
        <w:rPr>
          <w:sz w:val="24"/>
          <w:bdr w:val="nil"/>
        </w:rPr>
        <w:t>Es ist von entscheidender Bedeutung, dass der Prozess der Entlassung aus Einrichtungen nicht dazu führt, dass Bewohner von Einrichtungen aufgrund schlecht geplanter Schließungen obdachlos werden oder sich in einer schutzbedürftigen Lage befinden. Abgesehen davon muss der Übergang stetig voranschreiten, um allen Menschen die Möglichkeit zu geben, die Einrichtungen zu verlassen und Optionen für ein selbstbestimmtes Leben in der Gemeinschaft zu finden.</w:t>
      </w:r>
    </w:p>
    <w:p w14:paraId="0DD106E2" w14:textId="77777777" w:rsidR="00FA3613" w:rsidRDefault="00624628" w:rsidP="002D4FDD">
      <w:pPr>
        <w:rPr>
          <w:rFonts w:eastAsia="Arial" w:cs="Arial"/>
          <w:sz w:val="24"/>
          <w:szCs w:val="24"/>
          <w:bdr w:val="nil"/>
        </w:rPr>
      </w:pPr>
      <w:r>
        <w:rPr>
          <w:sz w:val="24"/>
          <w:bdr w:val="nil"/>
        </w:rPr>
        <w:t xml:space="preserve">Es gibt keinen Grund, warum die Umstellung lange dauern sollte. Daher ist es von entscheidender Bedeutung, in erster Linie Lebensbedingungen in der Gemeinschaft zu schaffen, damit die Personen die Einrichtungen </w:t>
      </w:r>
    </w:p>
    <w:p w14:paraId="2701B1CB" w14:textId="77777777" w:rsidR="00FA3613" w:rsidRDefault="00FA3613" w:rsidP="002D4FDD">
      <w:pPr>
        <w:rPr>
          <w:rFonts w:eastAsia="Arial" w:cs="Arial"/>
          <w:sz w:val="24"/>
          <w:szCs w:val="24"/>
          <w:bdr w:val="nil"/>
        </w:rPr>
      </w:pPr>
    </w:p>
    <w:p w14:paraId="070E7A3D" w14:textId="77777777" w:rsidR="002D4FDD" w:rsidRPr="007B6E65" w:rsidRDefault="00624628" w:rsidP="002D4FDD">
      <w:pPr>
        <w:rPr>
          <w:rFonts w:cs="Arial"/>
          <w:sz w:val="24"/>
          <w:szCs w:val="24"/>
        </w:rPr>
      </w:pPr>
      <w:r>
        <w:rPr>
          <w:sz w:val="24"/>
          <w:bdr w:val="nil"/>
        </w:rPr>
        <w:t>verlassen können. Die Einführung dieser Bedingungen wird auch dazu beitragen, Neuaufnahmen zu vermeiden und sicherzustellen, dass Menschen, die in der Gemeinschaft leben, nicht aufgrund mangelnder Unterstützung durch die Gemeinschaft wieder in Einrichtungen abgeschoben werden.</w:t>
      </w:r>
    </w:p>
    <w:p w14:paraId="51742032" w14:textId="77777777" w:rsidR="002D4FDD" w:rsidRPr="00676B8F" w:rsidRDefault="00624628" w:rsidP="002D4FDD">
      <w:pPr>
        <w:rPr>
          <w:rFonts w:cs="Arial"/>
          <w:sz w:val="24"/>
          <w:szCs w:val="24"/>
        </w:rPr>
      </w:pPr>
      <w:r>
        <w:rPr>
          <w:sz w:val="24"/>
          <w:bdr w:val="nil"/>
        </w:rPr>
        <w:t xml:space="preserve">Die Umstellung muss es den Menschen </w:t>
      </w:r>
      <w:r>
        <w:rPr>
          <w:b/>
          <w:bCs/>
          <w:sz w:val="24"/>
          <w:szCs w:val="24"/>
          <w:bdr w:val="nil"/>
        </w:rPr>
        <w:t>ermöglichen</w:t>
      </w:r>
      <w:r>
        <w:rPr>
          <w:sz w:val="24"/>
          <w:bdr w:val="nil"/>
        </w:rPr>
        <w:t xml:space="preserve">, die Einrichtungen zu verlassen und ein Leben in der Gemeinschaft zu beginnen, anstatt die Menschen auf eine Weise </w:t>
      </w:r>
      <w:r>
        <w:rPr>
          <w:b/>
          <w:bCs/>
          <w:sz w:val="24"/>
          <w:szCs w:val="24"/>
          <w:bdr w:val="nil"/>
        </w:rPr>
        <w:t>aus den Einrichtungen zu entfernen</w:t>
      </w:r>
      <w:r>
        <w:rPr>
          <w:sz w:val="24"/>
          <w:bdr w:val="nil"/>
        </w:rPr>
        <w:t>, auf die sie keinen Einfluss haben. Eine unterstützte Entscheidungsfindung muss allen Menschen mit Behinderungen, die sie benötigen, im Rahmen der Umstellung garantiert werden. Es ist sehr wichtig, dass dieser Prozess nicht von institutionellen Pflegeanbietern geleitet wird, sondern Menschen mit Behinderungen (insbesondere diejenigen, die in Einrichtungen leben) und Behindertenorganisationen, die unter anderem Peer-Support leisten können, umfassend einbezieht. Außerdem ist es wichtig, die Familien zu ihrer Beteiligung an der Unterstützung des Übergangs zu befragen.</w:t>
      </w:r>
    </w:p>
    <w:p w14:paraId="6F03F42E" w14:textId="77777777" w:rsidR="002D4FDD" w:rsidRPr="00BF0B99" w:rsidRDefault="002D4FDD" w:rsidP="002D4FDD">
      <w:pPr>
        <w:rPr>
          <w:rFonts w:cs="Arial"/>
          <w:sz w:val="24"/>
          <w:szCs w:val="24"/>
        </w:rPr>
      </w:pPr>
    </w:p>
    <w:p w14:paraId="05BB76A2" w14:textId="77777777" w:rsidR="002D4FDD" w:rsidRPr="00FE36CA" w:rsidRDefault="00624628" w:rsidP="002D4FDD">
      <w:pPr>
        <w:pStyle w:val="Titre3"/>
      </w:pPr>
      <w:bookmarkStart w:id="17" w:name="_Toc161062571"/>
      <w:r>
        <w:rPr>
          <w:bdr w:val="nil"/>
        </w:rPr>
        <w:t>Nachbarschaftsdienste</w:t>
      </w:r>
      <w:bookmarkEnd w:id="17"/>
    </w:p>
    <w:p w14:paraId="03C2EA50" w14:textId="77777777" w:rsidR="002D4FDD" w:rsidRPr="007B6E65" w:rsidRDefault="00624628" w:rsidP="002D4FDD">
      <w:pPr>
        <w:rPr>
          <w:rFonts w:cs="Arial"/>
          <w:sz w:val="24"/>
          <w:szCs w:val="24"/>
        </w:rPr>
      </w:pPr>
      <w:r>
        <w:rPr>
          <w:sz w:val="24"/>
          <w:bdr w:val="nil"/>
        </w:rPr>
        <w:t>Wir verwenden auch häufig den allgemeinen Begriff „Nachbarschaftsdienste“. Dabei handelt es sich um eine breite Palette unterschiedlicher Dienstleistungen. Die einfachste Definition lautet: Nachbarschaftsdienste sind alle Dienstleistungen, die außerhalb von Einrichtungen innerhalb der Gemeinschaft erbracht werden und die ein selbstbestimmtes Leben und die Einbeziehung in die Gemeinschaft erleichtern. Sie integrieren Menschen mit Behinderungen in ihre lokalen Gemeinschaften und ermöglichen ihnen, ein integraler Bestandteil der Gesellschaft zu sein, anstatt Opfer von Ausgrenzung zu werden.</w:t>
      </w:r>
    </w:p>
    <w:p w14:paraId="67A3C126" w14:textId="77777777" w:rsidR="002D4FDD" w:rsidRPr="00BA0C6A" w:rsidRDefault="00624628" w:rsidP="002D4FDD">
      <w:pPr>
        <w:rPr>
          <w:rFonts w:cs="Arial"/>
          <w:sz w:val="24"/>
          <w:szCs w:val="24"/>
        </w:rPr>
      </w:pPr>
      <w:r>
        <w:rPr>
          <w:sz w:val="24"/>
          <w:bdr w:val="nil"/>
        </w:rPr>
        <w:lastRenderedPageBreak/>
        <w:t>Dieser Begriff kann sich auf allgemeine Dienstleistungen beziehen, die von allen genutzt werden, wie z. B. Gesundheitsversorgung, Arbeitsverwaltung oder Transportwesen. Er umfasst auch Dienstleistungen, die speziell für Menschen mit Behinderungen eingerichtet wurden, wie z. B. persönliche Assistenz, unterstützende Technologien, Unterstützung bei der Entscheidungsfindung usw. In jedem Fall handelt es sich um Dienstleistungen, die es den Menschen ermöglichen, in ihrer Gemeinschaft zu leben, zu arbeiten und sich zu entfalten. Sie ermöglichen es Menschen mit Behinderungen, ein selbstbestimmtes Leben zu führen und die Kontrolle über alle Entscheidungen zu behalten, die ihr Leben betreffen.</w:t>
      </w:r>
    </w:p>
    <w:p w14:paraId="1035B097" w14:textId="77777777" w:rsidR="002D4FDD" w:rsidRDefault="002D4FDD" w:rsidP="002D4FDD">
      <w:pPr>
        <w:pStyle w:val="Titre2"/>
      </w:pPr>
    </w:p>
    <w:p w14:paraId="76C445E7" w14:textId="77777777" w:rsidR="002D4FDD" w:rsidRPr="00FE36CA" w:rsidRDefault="00624628" w:rsidP="002D4FDD">
      <w:pPr>
        <w:pStyle w:val="Titre2"/>
        <w:numPr>
          <w:ilvl w:val="0"/>
          <w:numId w:val="21"/>
        </w:numPr>
      </w:pPr>
      <w:bookmarkStart w:id="18" w:name="_Toc161062572"/>
      <w:r>
        <w:rPr>
          <w:bdr w:val="nil"/>
        </w:rPr>
        <w:t>Menschenrechtsprobleme, mit denen Personen mit Behinderungen konfrontiert sind</w:t>
      </w:r>
      <w:bookmarkEnd w:id="18"/>
    </w:p>
    <w:p w14:paraId="62BA9FD5" w14:textId="77777777" w:rsidR="002D4FDD" w:rsidRDefault="002D4FDD" w:rsidP="002D4FDD">
      <w:pPr>
        <w:pStyle w:val="Titre3"/>
      </w:pPr>
    </w:p>
    <w:p w14:paraId="2C92A464" w14:textId="77777777" w:rsidR="002D4FDD" w:rsidRPr="00FE36CA" w:rsidRDefault="00624628" w:rsidP="002D4FDD">
      <w:pPr>
        <w:pStyle w:val="Titre3"/>
      </w:pPr>
      <w:bookmarkStart w:id="19" w:name="_Toc161062573"/>
      <w:r>
        <w:rPr>
          <w:bdr w:val="nil"/>
        </w:rPr>
        <w:t>Leben in einer Einrichtung</w:t>
      </w:r>
      <w:bookmarkEnd w:id="19"/>
    </w:p>
    <w:p w14:paraId="10B96D64" w14:textId="77777777" w:rsidR="009219B5" w:rsidRDefault="00624628" w:rsidP="002D4FDD">
      <w:pPr>
        <w:rPr>
          <w:rFonts w:eastAsia="Arial" w:cs="Arial"/>
          <w:sz w:val="24"/>
          <w:szCs w:val="24"/>
          <w:bdr w:val="nil"/>
        </w:rPr>
      </w:pPr>
      <w:r>
        <w:rPr>
          <w:sz w:val="24"/>
          <w:bdr w:val="nil"/>
        </w:rPr>
        <w:t xml:space="preserve">Wie bereits in der Definition einer Einrichtung erwähnt, bestehen die größten Bedrohungen für die Menschenrechte von Menschen mit Behinderungen in der  </w:t>
      </w:r>
    </w:p>
    <w:p w14:paraId="34A65FBC" w14:textId="77777777" w:rsidR="009219B5" w:rsidRDefault="009219B5" w:rsidP="002D4FDD">
      <w:pPr>
        <w:rPr>
          <w:rFonts w:eastAsia="Arial" w:cs="Arial"/>
          <w:sz w:val="24"/>
          <w:szCs w:val="24"/>
          <w:bdr w:val="nil"/>
        </w:rPr>
      </w:pPr>
    </w:p>
    <w:p w14:paraId="6DB370EE" w14:textId="77777777" w:rsidR="002D4FDD" w:rsidRPr="007B6E65" w:rsidRDefault="00624628" w:rsidP="002D4FDD">
      <w:pPr>
        <w:rPr>
          <w:rFonts w:cs="Arial"/>
          <w:sz w:val="24"/>
          <w:szCs w:val="24"/>
        </w:rPr>
      </w:pPr>
      <w:r>
        <w:rPr>
          <w:sz w:val="24"/>
          <w:bdr w:val="nil"/>
        </w:rPr>
        <w:t>geringen Kontrolle, die eine Person über ihr Leben hat. Einrichtungen schneiden die Menschen von ihren engsten Gemeinschaften ab und entziehen ihnen die Kontrolle über die grundlegendsten Entscheidungen, die sie betreffen.</w:t>
      </w:r>
    </w:p>
    <w:p w14:paraId="18005F29" w14:textId="77777777" w:rsidR="002D4FDD" w:rsidRPr="007B6E65" w:rsidRDefault="00624628" w:rsidP="002D4FDD">
      <w:pPr>
        <w:rPr>
          <w:rFonts w:cs="Arial"/>
          <w:sz w:val="24"/>
          <w:szCs w:val="24"/>
        </w:rPr>
      </w:pPr>
      <w:r>
        <w:rPr>
          <w:sz w:val="24"/>
          <w:bdr w:val="nil"/>
        </w:rPr>
        <w:t xml:space="preserve">In einigen Fällen können die Einrichtungen sogar zum Schauplatz weitaus schwerwiegenderer Menschenrechtsverletzungen werden. Zu den Fällen, über die am meisten berichtet wurde, gehörte der Fall </w:t>
      </w:r>
      <w:hyperlink r:id="rId20" w:history="1">
        <w:proofErr w:type="spellStart"/>
        <w:r>
          <w:rPr>
            <w:color w:val="0000FF"/>
            <w:sz w:val="24"/>
            <w:u w:val="single"/>
            <w:bdr w:val="nil"/>
          </w:rPr>
          <w:t>Whorlton</w:t>
        </w:r>
        <w:proofErr w:type="spellEnd"/>
        <w:r>
          <w:rPr>
            <w:color w:val="0000FF"/>
            <w:sz w:val="24"/>
            <w:u w:val="single"/>
            <w:bdr w:val="nil"/>
          </w:rPr>
          <w:t xml:space="preserve"> Hall</w:t>
        </w:r>
      </w:hyperlink>
      <w:r>
        <w:rPr>
          <w:sz w:val="24"/>
          <w:bdr w:val="nil"/>
        </w:rPr>
        <w:t xml:space="preserve">, ein Spezialkrankenhaus in Großbritannien, in dem erwachsene Menschen mit Behinderungen körperlich und seelisch missbraucht wurden. </w:t>
      </w:r>
      <w:hyperlink r:id="rId21" w:history="1">
        <w:proofErr w:type="spellStart"/>
        <w:r>
          <w:rPr>
            <w:color w:val="0000FF"/>
            <w:sz w:val="24"/>
            <w:u w:val="single"/>
            <w:bdr w:val="nil"/>
          </w:rPr>
          <w:t>Inclusion</w:t>
        </w:r>
        <w:proofErr w:type="spellEnd"/>
        <w:r>
          <w:rPr>
            <w:color w:val="0000FF"/>
            <w:sz w:val="24"/>
            <w:u w:val="single"/>
            <w:bdr w:val="nil"/>
          </w:rPr>
          <w:t xml:space="preserve"> Europe</w:t>
        </w:r>
      </w:hyperlink>
      <w:r>
        <w:rPr>
          <w:sz w:val="24"/>
          <w:bdr w:val="nil"/>
        </w:rPr>
        <w:t xml:space="preserve"> berichtete 2022, dass eine </w:t>
      </w:r>
      <w:hyperlink r:id="rId22" w:history="1">
        <w:r>
          <w:rPr>
            <w:color w:val="0000FF"/>
            <w:sz w:val="24"/>
            <w:u w:val="single"/>
            <w:bdr w:val="nil"/>
          </w:rPr>
          <w:t>Frau mit Behinderung in einer Einrichtung in Tschechien durch die Hand eines Mitarbeiters gestorben sei</w:t>
        </w:r>
      </w:hyperlink>
      <w:r>
        <w:rPr>
          <w:sz w:val="24"/>
          <w:bdr w:val="nil"/>
        </w:rPr>
        <w:t xml:space="preserve">. Erst kürzlich </w:t>
      </w:r>
      <w:hyperlink r:id="rId23" w:history="1">
        <w:r>
          <w:rPr>
            <w:color w:val="0000FF"/>
            <w:sz w:val="24"/>
            <w:u w:val="single"/>
            <w:bdr w:val="nil"/>
          </w:rPr>
          <w:t>wurden extreme Menschenrechtsverletzungen in Pflegeeinrichtungen für Menschen mit Behinderungen in Rumänien beobachtet</w:t>
        </w:r>
      </w:hyperlink>
      <w:r>
        <w:rPr>
          <w:sz w:val="24"/>
          <w:bdr w:val="nil"/>
        </w:rPr>
        <w:t xml:space="preserve">, wo die Bewohnerinnen und Bewohner hungerten, gefoltert und ausgebeutet wurden. </w:t>
      </w:r>
    </w:p>
    <w:p w14:paraId="614F75BE" w14:textId="77777777" w:rsidR="002D4FDD" w:rsidRPr="007B6E65" w:rsidRDefault="00624628" w:rsidP="002D4FDD">
      <w:pPr>
        <w:rPr>
          <w:rFonts w:cs="Arial"/>
          <w:sz w:val="24"/>
          <w:szCs w:val="24"/>
        </w:rPr>
      </w:pPr>
      <w:r>
        <w:rPr>
          <w:sz w:val="24"/>
          <w:bdr w:val="nil"/>
        </w:rPr>
        <w:t xml:space="preserve">Wir haben in letzter Zeit auch festgestellt, wie gefährlich Führungskräfte in Einrichtungen in Krisenzeiten sein können. Dies war insbesondere beim Ausbruch der COVID-19-Pandemie der Fall, bei der einige </w:t>
      </w:r>
      <w:hyperlink r:id="rId24" w:history="1">
        <w:r>
          <w:rPr>
            <w:color w:val="0000FF"/>
            <w:sz w:val="24"/>
            <w:u w:val="single"/>
            <w:bdr w:val="nil"/>
          </w:rPr>
          <w:t>Einrichtungen zu Infektions- und Missbrauchsherden wurden</w:t>
        </w:r>
      </w:hyperlink>
      <w:r>
        <w:rPr>
          <w:sz w:val="24"/>
          <w:bdr w:val="nil"/>
        </w:rPr>
        <w:t xml:space="preserve">. Mit dem Einmarsch Russlands in die Ukraine haben wir auch gesehen, wie isoliert die Einrichtungen waren und wie unvorbereitet die Behörden waren, um die Bewohner zu evakuieren, was zu unzähligen Todesfällen geführt hat. </w:t>
      </w:r>
    </w:p>
    <w:p w14:paraId="4064EFA9" w14:textId="77777777" w:rsidR="002D4FDD" w:rsidRPr="007B6E65" w:rsidRDefault="00624628" w:rsidP="002D4FDD">
      <w:pPr>
        <w:rPr>
          <w:rFonts w:cs="Arial"/>
          <w:sz w:val="24"/>
          <w:szCs w:val="24"/>
        </w:rPr>
      </w:pPr>
      <w:r>
        <w:rPr>
          <w:sz w:val="24"/>
          <w:bdr w:val="nil"/>
        </w:rPr>
        <w:lastRenderedPageBreak/>
        <w:t>Personen in Einrichtungen sind außerdem einem erhöhten Risiko von sexuellem und körperlichem Missbrauch und harten Disziplinarmaßnahmen</w:t>
      </w:r>
      <w:r w:rsidR="002D4FDD" w:rsidRPr="007B6E65">
        <w:rPr>
          <w:rStyle w:val="Appelnotedebasdep"/>
          <w:sz w:val="24"/>
          <w:szCs w:val="24"/>
        </w:rPr>
        <w:footnoteReference w:id="5"/>
      </w:r>
      <w:r>
        <w:rPr>
          <w:sz w:val="24"/>
          <w:bdr w:val="nil"/>
        </w:rPr>
        <w:t>, einschließlich körperlicher Züchtigung und Zwangsmaßnahmen,</w:t>
      </w:r>
      <w:r w:rsidR="002D4FDD" w:rsidRPr="007B6E65">
        <w:rPr>
          <w:rStyle w:val="Appelnotedebasdep"/>
          <w:sz w:val="24"/>
          <w:szCs w:val="24"/>
        </w:rPr>
        <w:footnoteReference w:id="6"/>
      </w:r>
      <w:r>
        <w:rPr>
          <w:sz w:val="24"/>
          <w:bdr w:val="nil"/>
        </w:rPr>
        <w:t xml:space="preserve"> sowie Fällen von Zwangssterilisation</w:t>
      </w:r>
      <w:r w:rsidR="002D4FDD" w:rsidRPr="007B6E65">
        <w:rPr>
          <w:rStyle w:val="Appelnotedebasdep"/>
          <w:sz w:val="24"/>
          <w:szCs w:val="24"/>
        </w:rPr>
        <w:footnoteReference w:id="7"/>
      </w:r>
      <w:r>
        <w:rPr>
          <w:sz w:val="24"/>
          <w:bdr w:val="nil"/>
        </w:rPr>
        <w:t xml:space="preserve"> ausgesetzt. Frauen sind besonders gefährdet, Opfer dieser Art von Missbrauch zu werden</w:t>
      </w:r>
      <w:r w:rsidR="002D4FDD">
        <w:rPr>
          <w:rStyle w:val="Appelnotedebasdep"/>
          <w:sz w:val="24"/>
          <w:szCs w:val="24"/>
        </w:rPr>
        <w:footnoteReference w:id="8"/>
      </w:r>
      <w:r>
        <w:rPr>
          <w:sz w:val="24"/>
          <w:bdr w:val="nil"/>
        </w:rPr>
        <w:t xml:space="preserve">. Menschen, die in Einrichtungen leben, können auch daran gehindert werden, Bindungen und gemeinschaftliche Unterstützungssysteme zu entwickeln, die familiäre Beziehungen und Gemeinschaften bieten können. Ein längerer Aufenthalt in einer Einrichtung erschwert die spätere Assimilation einer Person in ihre Familie und/oder Gemeinschaft erheblich. </w:t>
      </w:r>
    </w:p>
    <w:p w14:paraId="7B4B06F9" w14:textId="77777777" w:rsidR="002D4FDD" w:rsidRPr="00FE36CA" w:rsidRDefault="002D4FDD" w:rsidP="002D4FDD"/>
    <w:p w14:paraId="085783D5" w14:textId="77777777" w:rsidR="002D4FDD" w:rsidRPr="00FE36CA" w:rsidRDefault="009219B5" w:rsidP="002D4FDD">
      <w:pPr>
        <w:pStyle w:val="Titre3"/>
      </w:pPr>
      <w:bookmarkStart w:id="20" w:name="_Toc161062574"/>
      <w:r>
        <w:rPr>
          <w:bdr w:val="nil"/>
        </w:rPr>
        <w:t>Leben in der Gemeinschaft</w:t>
      </w:r>
      <w:bookmarkEnd w:id="20"/>
    </w:p>
    <w:p w14:paraId="20694225" w14:textId="77777777" w:rsidR="001B491B" w:rsidRDefault="00624628" w:rsidP="002D4FDD">
      <w:pPr>
        <w:rPr>
          <w:rFonts w:eastAsia="Arial" w:cs="Arial"/>
          <w:sz w:val="24"/>
          <w:szCs w:val="24"/>
          <w:bdr w:val="nil"/>
        </w:rPr>
      </w:pPr>
      <w:r>
        <w:rPr>
          <w:sz w:val="24"/>
          <w:bdr w:val="nil"/>
        </w:rPr>
        <w:t xml:space="preserve">Wenn die richtigen Bedingungen nicht gegeben sind, können Menschen mit Behinderungen in Einrichtungen untergebracht werden, obwohl sie in der Gemeinschaft leben. Menschen, die in ihren eigenen Wohnungen leben, können gefangen und von ihrer Gemeinschaft abgeschnitten sein, wenn die bebaute Umwelt (einschließlich der eigenen Wohnung), Verkehrsmittel und  </w:t>
      </w:r>
    </w:p>
    <w:p w14:paraId="011B4F06" w14:textId="77777777" w:rsidR="001B491B" w:rsidRDefault="001B491B" w:rsidP="002D4FDD">
      <w:pPr>
        <w:rPr>
          <w:rFonts w:eastAsia="Arial" w:cs="Arial"/>
          <w:sz w:val="24"/>
          <w:szCs w:val="24"/>
          <w:bdr w:val="nil"/>
        </w:rPr>
      </w:pPr>
    </w:p>
    <w:p w14:paraId="0FB35AE5" w14:textId="77777777" w:rsidR="001B491B" w:rsidRDefault="001B491B" w:rsidP="002D4FDD">
      <w:pPr>
        <w:rPr>
          <w:rFonts w:eastAsia="Arial" w:cs="Arial"/>
          <w:sz w:val="24"/>
          <w:szCs w:val="24"/>
          <w:bdr w:val="nil"/>
        </w:rPr>
      </w:pPr>
    </w:p>
    <w:p w14:paraId="6EB2C221" w14:textId="77777777" w:rsidR="002D4FDD" w:rsidRPr="007B6E65" w:rsidRDefault="00624628" w:rsidP="002D4FDD">
      <w:pPr>
        <w:rPr>
          <w:rFonts w:cs="Arial"/>
          <w:sz w:val="24"/>
          <w:szCs w:val="24"/>
        </w:rPr>
      </w:pPr>
      <w:r>
        <w:rPr>
          <w:sz w:val="24"/>
          <w:bdr w:val="nil"/>
        </w:rPr>
        <w:t xml:space="preserve">die Dienste in ihrer Umgebung nicht zugänglich sind. Deshalb ist Barrierefreiheit so entscheidend, wenn es um ein selbstbestimmtes Leben geht. </w:t>
      </w:r>
    </w:p>
    <w:p w14:paraId="5ACE6782" w14:textId="77777777" w:rsidR="002D4FDD" w:rsidRDefault="00624628" w:rsidP="002D4FDD">
      <w:pPr>
        <w:rPr>
          <w:rFonts w:cs="Arial"/>
          <w:sz w:val="24"/>
          <w:szCs w:val="24"/>
        </w:rPr>
      </w:pPr>
      <w:r>
        <w:rPr>
          <w:sz w:val="24"/>
          <w:bdr w:val="nil"/>
        </w:rPr>
        <w:t xml:space="preserve">Die Merkmale, die eine Einrichtung definieren, können auch in der Wohnung einer Person vorhanden sein. Die Person, die Unterstützung leisten soll, kann den Menschen mit Behinderungen in einer Einrichtung unterbringen, indem sie ihm die Befugnis entzieht, Entscheidungen zu treffen und frei mit seinen Freunden, seiner Familie und seiner Gemeinschaft zu interagieren. </w:t>
      </w:r>
    </w:p>
    <w:p w14:paraId="3B65BDAB" w14:textId="77777777" w:rsidR="002D4FDD" w:rsidRPr="007B6E65" w:rsidRDefault="00624628" w:rsidP="002D4FDD">
      <w:pPr>
        <w:shd w:val="clear" w:color="auto" w:fill="FFFFFF"/>
        <w:rPr>
          <w:rFonts w:cs="Arial"/>
          <w:sz w:val="24"/>
          <w:szCs w:val="24"/>
        </w:rPr>
      </w:pPr>
      <w:r>
        <w:rPr>
          <w:sz w:val="24"/>
          <w:bdr w:val="nil"/>
        </w:rPr>
        <w:t>Deshalb ist es entscheidend, dass Menschen mit Behinderungen ihre persönlichen Assistenten selbst auswählen und idealerweise die Mittel für die Einstellung und Bezahlung kontrollieren, z. B. durch persönliche Budgets. Außerdem wird dadurch deutlich, wie wichtig es ist, dass persönliche Assistenten von Menschen mit Behinderungen selbst darin geschult werden, wie sie Unterstützung unter Wahrung der Unabhängigkeit der Person und ihrer Rechte leisten können, aber auch, dass Menschen mit Behinderungen Unterstützung von seinesgleichen erhalten, um sicherzustellen, dass sie sich ihrer Rechte bewusst sind und wissen, wie sie andere Dienste nutzen und kontrollieren können.</w:t>
      </w:r>
    </w:p>
    <w:p w14:paraId="492A21FC" w14:textId="77777777" w:rsidR="002D4FDD" w:rsidRPr="00FE36CA" w:rsidRDefault="002D4FDD" w:rsidP="002D4FDD"/>
    <w:p w14:paraId="7066AAB8" w14:textId="77777777" w:rsidR="002D4FDD" w:rsidRDefault="00624628" w:rsidP="002D4FDD">
      <w:pPr>
        <w:pStyle w:val="Titre3"/>
      </w:pPr>
      <w:bookmarkStart w:id="21" w:name="_Toc161062575"/>
      <w:r>
        <w:rPr>
          <w:bdr w:val="nil"/>
        </w:rPr>
        <w:t>Kinder mit Behinderungen</w:t>
      </w:r>
      <w:bookmarkEnd w:id="21"/>
    </w:p>
    <w:p w14:paraId="2DB03D72" w14:textId="77777777" w:rsidR="002D4FDD" w:rsidRPr="007B6E65" w:rsidRDefault="00624628" w:rsidP="002D4FDD">
      <w:pPr>
        <w:rPr>
          <w:rFonts w:cs="Arial"/>
          <w:sz w:val="24"/>
          <w:szCs w:val="24"/>
        </w:rPr>
      </w:pPr>
      <w:r>
        <w:rPr>
          <w:sz w:val="24"/>
          <w:bdr w:val="nil"/>
        </w:rPr>
        <w:t xml:space="preserve">Die Probleme, mit denen Kinder mit Behinderungen konfrontiert sind, unterscheiden sich in vielerlei Hinsicht von denen Erwachsener mit Behinderungen. Wenn es beispielsweise um Minderjährige mit einer Behinderung geht, sprechen wir in der Regel nicht von einem „selbstbestimmten Leben“ als Ziel. Wir sprechen vom Recht auf Pflege in der Familie und die Einbeziehung in die Gemeinschaft. Das Recht auf ein selbstbestimmtes Leben wird jedoch in der Adoleszenz und beim Übergang zum Erwachsenenalter immer wichtiger. Je früher ein Kind mit Behinderungen lernt, persönliche Assistenz zu nutzen, desto größer ist die Wahrscheinlichkeit, dass es als Erwachsener in die Gemeinschaft integriert wird. Dies erhöht auch die Chancen auf Unabhängigkeit, da die Familie und </w:t>
      </w:r>
      <w:proofErr w:type="gramStart"/>
      <w:r>
        <w:rPr>
          <w:sz w:val="24"/>
          <w:bdr w:val="nil"/>
        </w:rPr>
        <w:t>das</w:t>
      </w:r>
      <w:proofErr w:type="gramEnd"/>
      <w:r>
        <w:rPr>
          <w:sz w:val="24"/>
          <w:bdr w:val="nil"/>
        </w:rPr>
        <w:t xml:space="preserve"> sie umgebende Netzwerk Abstand von der Verantwortung nehmen können, auf natürliche Weise tägliche Unterstützung zu leisten.</w:t>
      </w:r>
    </w:p>
    <w:p w14:paraId="5D3207C4" w14:textId="77777777" w:rsidR="002D4FDD" w:rsidRDefault="00624628" w:rsidP="002D4FDD">
      <w:pPr>
        <w:rPr>
          <w:rFonts w:cs="Arial"/>
          <w:sz w:val="24"/>
          <w:szCs w:val="24"/>
        </w:rPr>
      </w:pPr>
      <w:r>
        <w:rPr>
          <w:sz w:val="24"/>
          <w:bdr w:val="nil"/>
        </w:rPr>
        <w:t>Das Ziel besteht vor allem darin, Familien von Kindern mit Behinderungen zu unterstützen und zu verhindern, dass sie sich als Lösung an Einrichtungen wenden, wenn sie glauben, selbst keine angemessene Unterstützung bieten zu können. Wenn dies nicht gelingt, liegt der Schwerpunkt auf der Förderung anderer Formen der familiären Betreuung, wie z. B. der Unterbringung in Pflegefamilien, als Alternative zu Einrichtungen.</w:t>
      </w:r>
    </w:p>
    <w:p w14:paraId="6360E3BC" w14:textId="77777777" w:rsidR="002D4FDD" w:rsidRPr="007B6E65" w:rsidRDefault="00624628" w:rsidP="002D4FDD">
      <w:pPr>
        <w:rPr>
          <w:rFonts w:cs="Arial"/>
          <w:sz w:val="24"/>
          <w:szCs w:val="24"/>
        </w:rPr>
      </w:pPr>
      <w:r>
        <w:rPr>
          <w:sz w:val="24"/>
          <w:bdr w:val="nil"/>
        </w:rPr>
        <w:t>Kinder mit Behinderungen landen nicht nur häufiger in Einrichtungen als ihre nicht behinderten Altersgenossen, sondern laufen auch Gefahr, länger dort zu bleiben, oft sogar dauerhaft. Viele von ihnen werden auch dann noch in Einrichtungen leben, wenn sie ins Erwachsenenalter eintreten, und in vielen Fällen für den Rest ihres Lebens.</w:t>
      </w:r>
    </w:p>
    <w:p w14:paraId="170D94F7" w14:textId="77777777" w:rsidR="006242EC" w:rsidRDefault="006242EC" w:rsidP="002D4FDD">
      <w:pPr>
        <w:rPr>
          <w:rFonts w:eastAsia="Arial" w:cs="Arial"/>
          <w:sz w:val="24"/>
          <w:szCs w:val="24"/>
          <w:bdr w:val="nil"/>
        </w:rPr>
      </w:pPr>
    </w:p>
    <w:p w14:paraId="7F189042" w14:textId="77777777" w:rsidR="006242EC" w:rsidRDefault="006242EC" w:rsidP="002D4FDD">
      <w:pPr>
        <w:rPr>
          <w:rFonts w:eastAsia="Arial" w:cs="Arial"/>
          <w:sz w:val="24"/>
          <w:szCs w:val="24"/>
          <w:bdr w:val="nil"/>
        </w:rPr>
      </w:pPr>
    </w:p>
    <w:p w14:paraId="6C632D95" w14:textId="77777777" w:rsidR="002D4FDD" w:rsidRPr="007B6E65" w:rsidRDefault="00624628" w:rsidP="002D4FDD">
      <w:pPr>
        <w:rPr>
          <w:rFonts w:cs="Arial"/>
          <w:color w:val="000000"/>
          <w:sz w:val="24"/>
          <w:szCs w:val="24"/>
          <w:shd w:val="clear" w:color="auto" w:fill="FFFFFF"/>
        </w:rPr>
      </w:pPr>
      <w:r>
        <w:rPr>
          <w:sz w:val="24"/>
          <w:bdr w:val="nil"/>
        </w:rPr>
        <w:t>Es ist erwiesen, dass der Mangel an positiver, konsequenter und individueller Zuwendung, die Kinder in Einrichtungen erfahren, ihre emotionale, körperliche, geistige und soziale Entwicklung beeinträchtigen kann</w:t>
      </w:r>
      <w:r w:rsidR="002D4FDD" w:rsidRPr="007B6E65">
        <w:rPr>
          <w:rStyle w:val="Appelnotedebasdep"/>
          <w:sz w:val="24"/>
          <w:szCs w:val="24"/>
        </w:rPr>
        <w:footnoteReference w:id="9"/>
      </w:r>
      <w:r>
        <w:rPr>
          <w:sz w:val="24"/>
          <w:bdr w:val="nil"/>
        </w:rPr>
        <w:t xml:space="preserve">. </w:t>
      </w:r>
      <w:r>
        <w:rPr>
          <w:color w:val="000000"/>
          <w:sz w:val="24"/>
          <w:szCs w:val="24"/>
          <w:bdr w:val="nil"/>
          <w:shd w:val="clear" w:color="auto" w:fill="FFFFFF"/>
        </w:rPr>
        <w:t>Einige Studien deuten darauf hin, dass die Unterbringung in einer Einrichtung die schlechten kognitiven Leistungen und die Sprachdefizite von Kindern verstärkt.</w:t>
      </w:r>
      <w:r w:rsidR="002D4FDD" w:rsidRPr="007B6E65">
        <w:rPr>
          <w:rStyle w:val="Appelnotedebasdep"/>
          <w:color w:val="000000"/>
          <w:sz w:val="24"/>
          <w:szCs w:val="24"/>
          <w:shd w:val="clear" w:color="auto" w:fill="FFFFFF"/>
        </w:rPr>
        <w:footnoteReference w:id="10"/>
      </w:r>
      <w:r>
        <w:rPr>
          <w:color w:val="000000"/>
          <w:sz w:val="24"/>
          <w:bdr w:val="nil"/>
          <w:shd w:val="clear" w:color="auto" w:fill="FFFFFF"/>
        </w:rPr>
        <w:t xml:space="preserve"> Weitere Probleme, die bei Kindern, die in Einrichtungen leben, festgestellt werden, sind Unterernährung und Symptome, die aus „toxischem Stress“ resultieren.</w:t>
      </w:r>
      <w:r w:rsidR="002D4FDD" w:rsidRPr="007B6E65">
        <w:rPr>
          <w:rStyle w:val="Appelnotedebasdep"/>
          <w:color w:val="000000"/>
          <w:sz w:val="24"/>
          <w:szCs w:val="24"/>
          <w:shd w:val="clear" w:color="auto" w:fill="FFFFFF"/>
        </w:rPr>
        <w:footnoteReference w:id="11"/>
      </w:r>
      <w:r>
        <w:rPr>
          <w:color w:val="000000"/>
          <w:sz w:val="24"/>
          <w:szCs w:val="24"/>
          <w:bdr w:val="nil"/>
          <w:shd w:val="clear" w:color="auto" w:fill="FFFFFF"/>
        </w:rPr>
        <w:t>Darüber hinaus</w:t>
      </w:r>
      <w:r>
        <w:rPr>
          <w:sz w:val="24"/>
          <w:bdr w:val="nil"/>
        </w:rPr>
        <w:t xml:space="preserve"> gehen Kinder und Jugendliche in Einrichtungen seltener zur Schule als ihre Altersgenossen, wodurch ihnen der entscheidende formative Beitrag entgeht, den Bildung zur Vorbereitung einer Person auf die Unabhängigkeit im Erwachsenenalter leisten kann</w:t>
      </w:r>
      <w:r w:rsidR="002D4FDD" w:rsidRPr="007B6E65">
        <w:rPr>
          <w:rStyle w:val="Appelnotedebasdep"/>
          <w:sz w:val="24"/>
          <w:szCs w:val="24"/>
        </w:rPr>
        <w:footnoteReference w:id="12"/>
      </w:r>
      <w:r>
        <w:rPr>
          <w:sz w:val="24"/>
          <w:bdr w:val="nil"/>
        </w:rPr>
        <w:t xml:space="preserve">. </w:t>
      </w:r>
    </w:p>
    <w:p w14:paraId="33D8A5D7" w14:textId="77777777" w:rsidR="002D4FDD" w:rsidRPr="002D4FDD" w:rsidRDefault="002D4FDD" w:rsidP="002D4FDD">
      <w:pPr>
        <w:rPr>
          <w:color w:val="0A2F40"/>
          <w:sz w:val="28"/>
          <w:szCs w:val="24"/>
        </w:rPr>
      </w:pPr>
    </w:p>
    <w:p w14:paraId="195EF490" w14:textId="77777777" w:rsidR="002D4FDD" w:rsidRDefault="00624628" w:rsidP="002D4FDD">
      <w:pPr>
        <w:pStyle w:val="Titre3"/>
      </w:pPr>
      <w:bookmarkStart w:id="22" w:name="_Toc161062576"/>
      <w:r>
        <w:rPr>
          <w:bdr w:val="nil"/>
        </w:rPr>
        <w:t>Rote Flaggen: Vorsicht bei Investitionen, die zu anhaltender Unterbringung in einer Einrichtung führen</w:t>
      </w:r>
      <w:bookmarkEnd w:id="22"/>
    </w:p>
    <w:p w14:paraId="6AD8E86A" w14:textId="77777777" w:rsidR="002D4FDD" w:rsidRDefault="002D4FDD" w:rsidP="002D4FDD"/>
    <w:p w14:paraId="1E591BE0" w14:textId="77777777" w:rsidR="002D4FDD" w:rsidRPr="00C502B0" w:rsidRDefault="00624628" w:rsidP="002D4FDD">
      <w:pPr>
        <w:pStyle w:val="Paragraphedeliste"/>
        <w:numPr>
          <w:ilvl w:val="0"/>
          <w:numId w:val="26"/>
        </w:numPr>
        <w:shd w:val="clear" w:color="auto" w:fill="FF7C80"/>
        <w:ind w:left="714" w:hanging="357"/>
        <w:rPr>
          <w:rFonts w:ascii="Arial" w:hAnsi="Arial" w:cs="Arial"/>
          <w:sz w:val="24"/>
          <w:szCs w:val="24"/>
        </w:rPr>
      </w:pPr>
      <w:r>
        <w:rPr>
          <w:rFonts w:ascii="Arial" w:hAnsi="Arial"/>
          <w:sz w:val="24"/>
          <w:bdr w:val="nil"/>
        </w:rPr>
        <w:t>Die Art der Dienstleistungserbringung führt dazu, dass die Person mit Behinderung von der breiteren Gemeinschaft isoliert wird.</w:t>
      </w:r>
    </w:p>
    <w:p w14:paraId="5B8F3378" w14:textId="77777777" w:rsidR="002D4FDD" w:rsidRPr="00C95F4A" w:rsidRDefault="00624628" w:rsidP="002D4FDD">
      <w:pPr>
        <w:pStyle w:val="Paragraphedeliste"/>
        <w:numPr>
          <w:ilvl w:val="0"/>
          <w:numId w:val="26"/>
        </w:numPr>
        <w:shd w:val="clear" w:color="auto" w:fill="FF7C80"/>
        <w:ind w:left="714" w:hanging="357"/>
        <w:rPr>
          <w:rFonts w:ascii="Arial" w:hAnsi="Arial" w:cs="Arial"/>
          <w:sz w:val="24"/>
          <w:szCs w:val="24"/>
        </w:rPr>
      </w:pPr>
      <w:r>
        <w:rPr>
          <w:rFonts w:ascii="Arial" w:hAnsi="Arial"/>
          <w:sz w:val="24"/>
          <w:bdr w:val="nil"/>
        </w:rPr>
        <w:t>Menschen mit Behinderungen sind gezwungen, zusammenzuwohnen, um Unterstützung zu erhalten (Wohnen und Unterstützung sind miteinander verbunden)</w:t>
      </w:r>
    </w:p>
    <w:p w14:paraId="1FB66D4B" w14:textId="77777777" w:rsidR="002D4FDD" w:rsidRPr="00C502B0" w:rsidRDefault="00624628" w:rsidP="002D4FDD">
      <w:pPr>
        <w:pStyle w:val="Paragraphedeliste"/>
        <w:numPr>
          <w:ilvl w:val="0"/>
          <w:numId w:val="26"/>
        </w:numPr>
        <w:shd w:val="clear" w:color="auto" w:fill="FF7C80"/>
        <w:ind w:left="714" w:hanging="357"/>
        <w:rPr>
          <w:rFonts w:ascii="Arial" w:hAnsi="Arial" w:cs="Arial"/>
          <w:sz w:val="24"/>
          <w:szCs w:val="24"/>
        </w:rPr>
      </w:pPr>
      <w:r>
        <w:rPr>
          <w:rFonts w:ascii="Arial" w:hAnsi="Arial"/>
          <w:sz w:val="24"/>
          <w:bdr w:val="nil"/>
        </w:rPr>
        <w:t>Menschen mit Behinderungen, die Assistenzdienste in Anspruch nehmen, haben keine Kontrolle über ihr Leben und die Entscheidungen, die sie betreffen.</w:t>
      </w:r>
    </w:p>
    <w:p w14:paraId="348BA2E6" w14:textId="77777777" w:rsidR="002D4FDD" w:rsidRPr="00C502B0" w:rsidRDefault="00624628" w:rsidP="002D4FDD">
      <w:pPr>
        <w:pStyle w:val="Paragraphedeliste"/>
        <w:numPr>
          <w:ilvl w:val="0"/>
          <w:numId w:val="26"/>
        </w:numPr>
        <w:shd w:val="clear" w:color="auto" w:fill="FF7C80"/>
        <w:ind w:left="714" w:hanging="357"/>
        <w:rPr>
          <w:rFonts w:ascii="Arial" w:hAnsi="Arial" w:cs="Arial"/>
          <w:sz w:val="24"/>
          <w:szCs w:val="24"/>
        </w:rPr>
      </w:pPr>
      <w:r>
        <w:rPr>
          <w:rFonts w:ascii="Arial" w:hAnsi="Arial"/>
          <w:sz w:val="24"/>
          <w:bdr w:val="nil"/>
        </w:rPr>
        <w:t>Die Anforderungen des Dienstleisters haben Vorrang vor den individuellen Bedürfnissen der Person mit Behinderung.</w:t>
      </w:r>
    </w:p>
    <w:p w14:paraId="6BF5246C" w14:textId="77777777" w:rsidR="002D4FDD" w:rsidRPr="00C502B0" w:rsidRDefault="00624628" w:rsidP="002D4FDD">
      <w:pPr>
        <w:pStyle w:val="Paragraphedeliste"/>
        <w:numPr>
          <w:ilvl w:val="0"/>
          <w:numId w:val="26"/>
        </w:numPr>
        <w:shd w:val="clear" w:color="auto" w:fill="FF7C80"/>
        <w:ind w:left="714" w:hanging="357"/>
        <w:rPr>
          <w:rFonts w:ascii="Arial" w:hAnsi="Arial" w:cs="Arial"/>
          <w:sz w:val="24"/>
          <w:szCs w:val="24"/>
        </w:rPr>
      </w:pPr>
      <w:r>
        <w:rPr>
          <w:rFonts w:ascii="Arial" w:hAnsi="Arial"/>
          <w:sz w:val="24"/>
          <w:bdr w:val="nil"/>
        </w:rPr>
        <w:t>Bestehende Einrichtungen werden unter dem Vorwand, die Energieeffizienz oder die Lebensbedingungen der Bewohner zu verbessern, renoviert, wodurch die Lebensdauer der Einrichtung verlängert wird.</w:t>
      </w:r>
    </w:p>
    <w:p w14:paraId="36833F64" w14:textId="77777777" w:rsidR="002D4FDD" w:rsidRPr="00C502B0" w:rsidRDefault="00624628" w:rsidP="002D4FDD">
      <w:pPr>
        <w:pStyle w:val="Paragraphedeliste"/>
        <w:numPr>
          <w:ilvl w:val="0"/>
          <w:numId w:val="26"/>
        </w:numPr>
        <w:shd w:val="clear" w:color="auto" w:fill="FF7C80"/>
        <w:ind w:left="714" w:hanging="357"/>
        <w:rPr>
          <w:rFonts w:ascii="Arial" w:hAnsi="Arial" w:cs="Arial"/>
          <w:sz w:val="24"/>
          <w:szCs w:val="24"/>
        </w:rPr>
      </w:pPr>
      <w:r>
        <w:rPr>
          <w:rFonts w:ascii="Arial" w:hAnsi="Arial"/>
          <w:sz w:val="24"/>
          <w:bdr w:val="nil"/>
        </w:rPr>
        <w:t>Wohnmöglichkeiten oder andere Dienstleistungszentren befinden sich an abgelegenen Orten, was dazu führt, dass Menschen mit Behinderungen getrennt und von der Gemeinschaft abgeschnitten werden.</w:t>
      </w:r>
    </w:p>
    <w:p w14:paraId="6423B86A" w14:textId="77777777" w:rsidR="002D4FDD" w:rsidRPr="00C502B0" w:rsidRDefault="00624628" w:rsidP="002D4FDD">
      <w:pPr>
        <w:pStyle w:val="Paragraphedeliste"/>
        <w:numPr>
          <w:ilvl w:val="0"/>
          <w:numId w:val="26"/>
        </w:numPr>
        <w:shd w:val="clear" w:color="auto" w:fill="FF7C80"/>
        <w:ind w:left="714" w:hanging="357"/>
        <w:rPr>
          <w:rFonts w:ascii="Arial" w:hAnsi="Arial" w:cs="Arial"/>
          <w:sz w:val="24"/>
          <w:szCs w:val="24"/>
        </w:rPr>
      </w:pPr>
      <w:r>
        <w:rPr>
          <w:rFonts w:ascii="Arial" w:hAnsi="Arial"/>
          <w:sz w:val="24"/>
          <w:bdr w:val="nil"/>
        </w:rPr>
        <w:t xml:space="preserve">Gelder werden für allgemeine Dienstleistungen bereitgestellt, die für Menschen mit Behinderungen nicht zugänglich sind (Bau von Schulen, die für Kinder mit Behinderungen nicht zugänglich sind, Transportmittel, die nicht zugänglich gemacht werden usw.), was zu einer erhöhten Nachfrage nach spezialisierten Dienstleistungen führt.  </w:t>
      </w:r>
    </w:p>
    <w:p w14:paraId="4966B996" w14:textId="77777777" w:rsidR="002D4FDD" w:rsidRDefault="002D4FDD" w:rsidP="002D4FDD">
      <w:pPr>
        <w:rPr>
          <w:color w:val="0A2F40"/>
          <w:sz w:val="28"/>
          <w:szCs w:val="24"/>
        </w:rPr>
      </w:pPr>
    </w:p>
    <w:p w14:paraId="04EA8BBC" w14:textId="77777777" w:rsidR="006242EC" w:rsidRPr="002D4FDD" w:rsidRDefault="006242EC" w:rsidP="002D4FDD">
      <w:pPr>
        <w:rPr>
          <w:color w:val="0A2F40"/>
          <w:sz w:val="28"/>
          <w:szCs w:val="24"/>
        </w:rPr>
      </w:pPr>
    </w:p>
    <w:p w14:paraId="34FF4F6A" w14:textId="77777777" w:rsidR="002D4FDD" w:rsidRDefault="00624628" w:rsidP="002D4FDD">
      <w:pPr>
        <w:pStyle w:val="Titre2"/>
        <w:numPr>
          <w:ilvl w:val="0"/>
          <w:numId w:val="21"/>
        </w:numPr>
        <w:jc w:val="center"/>
        <w:rPr>
          <w:shd w:val="clear" w:color="auto" w:fill="FFFFFF"/>
        </w:rPr>
      </w:pPr>
      <w:bookmarkStart w:id="23" w:name="_Toc161062577"/>
      <w:r>
        <w:rPr>
          <w:bdr w:val="nil"/>
          <w:shd w:val="clear" w:color="auto" w:fill="FFFFFF"/>
        </w:rPr>
        <w:t>Vorbereitung des Übergangs von Einrichtungen zu einem selbstbestimmten Leben und der Einbeziehung in die Gemeinschaft</w:t>
      </w:r>
      <w:bookmarkEnd w:id="23"/>
    </w:p>
    <w:p w14:paraId="41965E1D" w14:textId="77777777" w:rsidR="002D4FDD" w:rsidRPr="001B064B" w:rsidRDefault="002D4FDD" w:rsidP="002D4FDD"/>
    <w:p w14:paraId="40A558C0" w14:textId="77777777" w:rsidR="002D4FDD" w:rsidRPr="00FE36CA" w:rsidRDefault="00624628" w:rsidP="002D4FDD">
      <w:pPr>
        <w:pStyle w:val="Titre3"/>
      </w:pPr>
      <w:bookmarkStart w:id="24" w:name="_Toc161062578"/>
      <w:r>
        <w:rPr>
          <w:bdr w:val="nil"/>
        </w:rPr>
        <w:t>Aufgeschlüsselte Daten zu Personen, die in Einrichtungen leben</w:t>
      </w:r>
      <w:bookmarkEnd w:id="24"/>
    </w:p>
    <w:p w14:paraId="224A8BE7" w14:textId="77777777" w:rsidR="002D4FDD" w:rsidRPr="007B6E65" w:rsidRDefault="00624628" w:rsidP="002D4FDD">
      <w:pPr>
        <w:rPr>
          <w:rFonts w:cs="Arial"/>
          <w:sz w:val="24"/>
          <w:szCs w:val="24"/>
        </w:rPr>
      </w:pPr>
      <w:r>
        <w:rPr>
          <w:sz w:val="24"/>
          <w:bdr w:val="nil"/>
        </w:rPr>
        <w:t xml:space="preserve">Die Erhebung von Daten über Personen, die in der EU in Einrichtungen leben, weist erhebliche Lücken auf. Die von den nationalen statistischen Ämtern erhobenen und mit </w:t>
      </w:r>
      <w:hyperlink r:id="rId25" w:history="1">
        <w:r>
          <w:rPr>
            <w:color w:val="0000FF"/>
            <w:sz w:val="24"/>
            <w:u w:val="single"/>
            <w:bdr w:val="nil"/>
          </w:rPr>
          <w:t>Eurostat</w:t>
        </w:r>
      </w:hyperlink>
      <w:r>
        <w:rPr>
          <w:sz w:val="24"/>
          <w:bdr w:val="nil"/>
        </w:rPr>
        <w:t>, dem statistischen Amt der Europäischen Union, geteilten Daten umfassen in der Regel nur Personen, die in Haushalten leben. Sie schließen daher Personen aus, die in jeder Art von zusammengefasster Wohnumgebung leben. Daher verfügen wir nicht über zuverlässige und umfassende Daten über die tatsächliche Anzahl der Personen, die in Einrichtungen leben. Es ist daher schwierig, die Fortschritte der Mitgliedstaaten regelmäßig zu überwachen und festzustellen, ob die Strategien und Maßnahmen zur Deinstitutionalisierung Wirkung zeigen.</w:t>
      </w:r>
    </w:p>
    <w:p w14:paraId="20E5E1B4" w14:textId="77777777" w:rsidR="002D4FDD" w:rsidRPr="007B6E65" w:rsidRDefault="00624628" w:rsidP="002D4FDD">
      <w:pPr>
        <w:rPr>
          <w:rFonts w:cs="Arial"/>
          <w:sz w:val="24"/>
          <w:szCs w:val="24"/>
        </w:rPr>
      </w:pPr>
      <w:r>
        <w:rPr>
          <w:sz w:val="24"/>
          <w:bdr w:val="nil"/>
        </w:rPr>
        <w:lastRenderedPageBreak/>
        <w:t>Auch die Datenerhebung ist entscheidend, um uns dabei zu helfen, die Menschen zu identifizieren, die am stärksten von einer Institutionalisierung bedroht sind, sei es aufgrund der Art ihrer Behinderung, des Landes oder der Region, in der sie leben, oder aufgrund anderer Aspekte wie Geschlecht, ethnische Zugehörigkeit usw. Sie kann auch Überschneidungen zwischen der Armut von Haushalten und dem Vorhandensein von familiärer Unterstützung aufzeigen, um das Risiko einer Institutionalisierung zu verhindern oder zu erhöhen. Die Verfügbarkeit dieser Informationen würde zu gezielteren Ansätzen führen, die wiederum wirksamere politische Reaktionen ermöglichen würden.</w:t>
      </w:r>
    </w:p>
    <w:p w14:paraId="2E10867E" w14:textId="77777777" w:rsidR="002D4FDD" w:rsidRDefault="00624628" w:rsidP="002D4FDD">
      <w:pPr>
        <w:spacing w:before="120" w:after="120"/>
        <w:rPr>
          <w:rFonts w:cs="Arial"/>
          <w:sz w:val="24"/>
          <w:szCs w:val="24"/>
        </w:rPr>
      </w:pPr>
      <w:r>
        <w:rPr>
          <w:sz w:val="24"/>
          <w:bdr w:val="nil"/>
        </w:rPr>
        <w:t xml:space="preserve">Eine verbesserte und häufigere Datenerhebung über Personen, die in Einrichtungen leben, sollte auch als Grundlage für die Messung des Erfolgs bei der Aufgabe der Abhängigkeit von Einrichtungen in den Ländern dienen. Andere Regionen der Welt haben bereits gezeigt, wie man systematisch und transparent vorgeht. In den USA beispielsweise veröffentlicht das </w:t>
      </w:r>
      <w:hyperlink r:id="rId26">
        <w:r>
          <w:rPr>
            <w:color w:val="0563C1"/>
            <w:sz w:val="24"/>
            <w:u w:val="single"/>
            <w:bdr w:val="nil"/>
          </w:rPr>
          <w:t xml:space="preserve">ADA PARC (Americans </w:t>
        </w:r>
        <w:proofErr w:type="spellStart"/>
        <w:r>
          <w:rPr>
            <w:color w:val="0563C1"/>
            <w:sz w:val="24"/>
            <w:u w:val="single"/>
            <w:bdr w:val="nil"/>
          </w:rPr>
          <w:t>with</w:t>
        </w:r>
        <w:proofErr w:type="spellEnd"/>
        <w:r>
          <w:rPr>
            <w:color w:val="0563C1"/>
            <w:sz w:val="24"/>
            <w:u w:val="single"/>
            <w:bdr w:val="nil"/>
          </w:rPr>
          <w:t xml:space="preserve"> </w:t>
        </w:r>
        <w:proofErr w:type="spellStart"/>
        <w:r>
          <w:rPr>
            <w:color w:val="0563C1"/>
            <w:sz w:val="24"/>
            <w:u w:val="single"/>
            <w:bdr w:val="nil"/>
          </w:rPr>
          <w:t>Disabilities</w:t>
        </w:r>
        <w:proofErr w:type="spellEnd"/>
        <w:r>
          <w:rPr>
            <w:color w:val="0563C1"/>
            <w:sz w:val="24"/>
            <w:u w:val="single"/>
            <w:bdr w:val="nil"/>
          </w:rPr>
          <w:t xml:space="preserve"> Act </w:t>
        </w:r>
        <w:proofErr w:type="spellStart"/>
        <w:r>
          <w:rPr>
            <w:color w:val="0563C1"/>
            <w:sz w:val="24"/>
            <w:u w:val="single"/>
            <w:bdr w:val="nil"/>
          </w:rPr>
          <w:t>Participation</w:t>
        </w:r>
        <w:proofErr w:type="spellEnd"/>
        <w:r>
          <w:rPr>
            <w:color w:val="0563C1"/>
            <w:sz w:val="24"/>
            <w:u w:val="single"/>
            <w:bdr w:val="nil"/>
          </w:rPr>
          <w:t xml:space="preserve"> Action Research </w:t>
        </w:r>
        <w:proofErr w:type="spellStart"/>
        <w:r>
          <w:rPr>
            <w:color w:val="0563C1"/>
            <w:sz w:val="24"/>
            <w:u w:val="single"/>
            <w:bdr w:val="nil"/>
          </w:rPr>
          <w:t>Consortium</w:t>
        </w:r>
        <w:proofErr w:type="spellEnd"/>
        <w:r>
          <w:rPr>
            <w:color w:val="0563C1"/>
            <w:sz w:val="24"/>
            <w:u w:val="single"/>
            <w:bdr w:val="nil"/>
          </w:rPr>
          <w:t>)</w:t>
        </w:r>
      </w:hyperlink>
      <w:r>
        <w:rPr>
          <w:sz w:val="24"/>
          <w:bdr w:val="nil"/>
        </w:rPr>
        <w:t xml:space="preserve"> regelmäßig einen Bericht, in dem die Zahl der Menschen mit Behinderungen, die landesweit in Einrichtungen untergebracht sind, erfasst wird, wobei die Fortschritte der einzelnen Bundesstaaten im </w:t>
      </w:r>
      <w:proofErr w:type="spellStart"/>
      <w:r>
        <w:rPr>
          <w:sz w:val="24"/>
          <w:bdr w:val="nil"/>
        </w:rPr>
        <w:t>Deinstitutionalisierungsprozess</w:t>
      </w:r>
      <w:proofErr w:type="spellEnd"/>
      <w:r>
        <w:rPr>
          <w:sz w:val="24"/>
          <w:bdr w:val="nil"/>
        </w:rPr>
        <w:t xml:space="preserve"> verglichen werden.</w:t>
      </w:r>
    </w:p>
    <w:p w14:paraId="4B0449EB" w14:textId="77777777" w:rsidR="002D4FDD" w:rsidRDefault="00624628" w:rsidP="002D4FDD">
      <w:pPr>
        <w:rPr>
          <w:rFonts w:eastAsia="Arial" w:cs="Arial"/>
          <w:sz w:val="24"/>
          <w:szCs w:val="24"/>
          <w:bdr w:val="nil"/>
        </w:rPr>
      </w:pPr>
      <w:r>
        <w:rPr>
          <w:sz w:val="24"/>
          <w:bdr w:val="nil"/>
        </w:rPr>
        <w:t>Die mangelnde Bereitschaft, Daten über Personen, die in Einrichtungen leben, zu erheben, hat auch eine eher symbolische Implikation. Sie spiegelt ein mangelndes Interesse der Behörden wider, die Realität der vielen Menschen, die noch immer in den Einrichtungen festsitzen, zu verstehen und ihre Existenz und ihren Wert anzuerkennen. Daher ist es neben den praktischen Anwendungen, die diese Datenerhebung für die Messung der Wirksamkeit von Maßnahmen haben kann, auch notwendig, dafür zu sorgen, dass die Menschen in den Einrichtungen nicht vergessen werden.</w:t>
      </w:r>
    </w:p>
    <w:p w14:paraId="7E949469" w14:textId="77777777" w:rsidR="006242EC" w:rsidRDefault="006242EC" w:rsidP="002D4FDD">
      <w:pPr>
        <w:rPr>
          <w:rFonts w:cs="Arial"/>
          <w:sz w:val="24"/>
          <w:szCs w:val="24"/>
        </w:rPr>
      </w:pPr>
    </w:p>
    <w:p w14:paraId="250E6A65" w14:textId="77777777" w:rsidR="002D4FDD" w:rsidRPr="007B6E65" w:rsidRDefault="002D4FDD" w:rsidP="002D4FDD">
      <w:pPr>
        <w:rPr>
          <w:rFonts w:cs="Arial"/>
          <w:sz w:val="24"/>
          <w:szCs w:val="24"/>
        </w:rPr>
      </w:pPr>
      <w:r>
        <w:rPr>
          <w:sz w:val="24"/>
        </w:rPr>
        <w:t xml:space="preserve">  </w:t>
      </w:r>
    </w:p>
    <w:p w14:paraId="35146E0C" w14:textId="77777777" w:rsidR="002D4FDD" w:rsidRPr="00812B35" w:rsidRDefault="00624628" w:rsidP="002D4FDD">
      <w:pPr>
        <w:shd w:val="clear" w:color="auto" w:fill="D9F2D0"/>
        <w:rPr>
          <w:rFonts w:cs="Arial"/>
          <w:sz w:val="24"/>
          <w:szCs w:val="24"/>
        </w:rPr>
      </w:pPr>
      <w:r>
        <w:rPr>
          <w:b/>
          <w:sz w:val="24"/>
          <w:bdr w:val="nil"/>
        </w:rPr>
        <w:t xml:space="preserve">Empfehlungen für nationale und lokale Behörden: </w:t>
      </w:r>
      <w:r>
        <w:rPr>
          <w:sz w:val="24"/>
          <w:bdr w:val="nil"/>
        </w:rPr>
        <w:t xml:space="preserve">Regelmäßige, genaue und aufgeschlüsselte Daten über Menschen, die in stationären Einrichtungen aller Größenordnungen leben, sowie über die Art der Einrichtung, in der sie leben, erheben. Diese Daten sollten Aufschluss darüber geben, wie viele Menschen in Einrichtungen untergebracht sind, welche Gruppen dort unverhältnismäßig stark vertreten sind (Art der Behinderung, Alter, ethnische Herkunft, Geschlecht, Aufnahmedatum, Herkunftsort) und wo sich die Einrichtungen befinden. Dies sollte auch als Mittel zur Überwachung der Fortschritte der einzelnen Länder bei der Befreiung von der Abhängigkeit von Einrichtungen genutzt werden. </w:t>
      </w:r>
    </w:p>
    <w:p w14:paraId="6BCE9587" w14:textId="77777777" w:rsidR="002D4FDD" w:rsidRPr="00FE36CA" w:rsidRDefault="002D4FDD" w:rsidP="002D4FDD"/>
    <w:p w14:paraId="6F4B4DB5" w14:textId="77777777" w:rsidR="002D4FDD" w:rsidRPr="00FE36CA" w:rsidRDefault="00624628" w:rsidP="002D4FDD">
      <w:pPr>
        <w:pStyle w:val="Titre3"/>
      </w:pPr>
      <w:bookmarkStart w:id="25" w:name="_Toc161062579"/>
      <w:r>
        <w:rPr>
          <w:bdr w:val="nil"/>
        </w:rPr>
        <w:t>Quantitative Zielsetzungen</w:t>
      </w:r>
      <w:bookmarkEnd w:id="25"/>
      <w:r>
        <w:rPr>
          <w:bdr w:val="nil"/>
        </w:rPr>
        <w:t xml:space="preserve"> </w:t>
      </w:r>
    </w:p>
    <w:p w14:paraId="36F107B9" w14:textId="77777777" w:rsidR="002D4FDD" w:rsidRPr="007B6E65" w:rsidRDefault="00624628" w:rsidP="002D4FDD">
      <w:pPr>
        <w:rPr>
          <w:rFonts w:cs="Arial"/>
          <w:sz w:val="24"/>
          <w:szCs w:val="24"/>
        </w:rPr>
      </w:pPr>
      <w:r>
        <w:rPr>
          <w:sz w:val="24"/>
          <w:bdr w:val="nil"/>
        </w:rPr>
        <w:t xml:space="preserve">Die Datenerhebung sollte mit dem Ziel verbunden werden, die Zahl der Menschen, die sich in solchen Umgebungen befinden, zu reduzieren. Die Ziele müssen ehrgeizig sein und zu einem spürbaren Rückgang der Zahl der Menschen führen, die in Einrichtungen leben. Die Ziele </w:t>
      </w:r>
      <w:r>
        <w:rPr>
          <w:sz w:val="24"/>
          <w:bdr w:val="nil"/>
        </w:rPr>
        <w:lastRenderedPageBreak/>
        <w:t xml:space="preserve">müssen mit einem Zeitplan verknüpft sein. Es müssen kurz- und langfristige Ziele festgelegt werden. Es sollten auch Personen einbezogen werden, die ihre Zeit zwischen dem Leben in einer Einrichtung und dem Leben in ihrer Familie aufteilen. </w:t>
      </w:r>
    </w:p>
    <w:p w14:paraId="57C21E7F" w14:textId="77777777" w:rsidR="002D4FDD" w:rsidRDefault="002D4FDD" w:rsidP="002D4FDD"/>
    <w:p w14:paraId="4D18C341" w14:textId="77777777" w:rsidR="002D4FDD" w:rsidRPr="008877F9" w:rsidRDefault="00624628" w:rsidP="002D4FDD">
      <w:pPr>
        <w:shd w:val="clear" w:color="auto" w:fill="D9F2D0"/>
        <w:rPr>
          <w:rFonts w:cs="Arial"/>
          <w:sz w:val="24"/>
          <w:szCs w:val="24"/>
        </w:rPr>
      </w:pPr>
      <w:r>
        <w:rPr>
          <w:b/>
          <w:sz w:val="24"/>
          <w:bdr w:val="nil"/>
        </w:rPr>
        <w:t>Empfehlungen für nationale und lokale Behörden:</w:t>
      </w:r>
      <w:r>
        <w:rPr>
          <w:sz w:val="24"/>
          <w:bdr w:val="nil"/>
        </w:rPr>
        <w:t xml:space="preserve"> Den Bau oder die Inbetriebnahme von Einrichtungen einstellen. Festlegung von quantitativen Zielen mit Fristen für die Anzahl der Personen, die in Einrichtungen gelangen und sie verlassen. Diese Informationen müssen öffentlich und leicht zugänglich gemacht und mithilfe disaggregierter Daten überwacht werden, um die Fortschritte des Landes bei der Umstellung von der Unterbringung in Einrichtungen zur Unterbringung in der Gemeinschaft zu bewerten.</w:t>
      </w:r>
    </w:p>
    <w:p w14:paraId="4A077BA4" w14:textId="77777777" w:rsidR="002D4FDD" w:rsidRPr="00FE36CA" w:rsidRDefault="002D4FDD" w:rsidP="002D4FDD"/>
    <w:p w14:paraId="1C1F130E" w14:textId="77777777" w:rsidR="002D4FDD" w:rsidRPr="00FE36CA" w:rsidRDefault="00624628" w:rsidP="002D4FDD">
      <w:pPr>
        <w:pStyle w:val="Titre3"/>
      </w:pPr>
      <w:bookmarkStart w:id="26" w:name="_Toc161062580"/>
      <w:r>
        <w:rPr>
          <w:bdr w:val="nil"/>
        </w:rPr>
        <w:t>Qualitätsgarantie</w:t>
      </w:r>
      <w:bookmarkEnd w:id="26"/>
    </w:p>
    <w:p w14:paraId="6F2AB6B5" w14:textId="77777777" w:rsidR="002D4FDD" w:rsidRPr="007B6E65" w:rsidRDefault="00624628" w:rsidP="002D4FDD">
      <w:pPr>
        <w:rPr>
          <w:rFonts w:cs="Arial"/>
          <w:sz w:val="24"/>
          <w:szCs w:val="24"/>
        </w:rPr>
      </w:pPr>
      <w:r>
        <w:rPr>
          <w:sz w:val="24"/>
          <w:bdr w:val="nil"/>
        </w:rPr>
        <w:t>Es ist wichtig, dass die Behörden Qualitätssicherungssysteme entwickeln, indem sie Regeln dafür aufstellen, wie Dienstleistungen für Menschen mit Behinderungen aussehen müssen, damit diese ein selbstbestimmtes und würdevolles Leben führen können. Diese Qualitätssicherung muss immer in Zusammenarbeit mit nationalen und lokalen Organisationen von Menschen mit Behinderungen erarbeitet werden. Die Qualitätssicherung muss auf den nationalen Kontext und die Anforderungen der lokalen Gemeinschaft zugeschnitten sein, die alle mit der Umsetzung der UN-BRK zusammenhängen.</w:t>
      </w:r>
    </w:p>
    <w:p w14:paraId="54B0278D" w14:textId="77777777" w:rsidR="002D4FDD" w:rsidRDefault="002D4FDD" w:rsidP="002D4FDD">
      <w:pPr>
        <w:rPr>
          <w:rFonts w:cs="Arial"/>
        </w:rPr>
      </w:pPr>
    </w:p>
    <w:p w14:paraId="04EA3859" w14:textId="77777777" w:rsidR="006242EC" w:rsidRDefault="006242EC" w:rsidP="002D4FDD">
      <w:pPr>
        <w:rPr>
          <w:rFonts w:cs="Arial"/>
        </w:rPr>
      </w:pPr>
    </w:p>
    <w:p w14:paraId="288065EE" w14:textId="77777777" w:rsidR="006242EC" w:rsidRDefault="006242EC" w:rsidP="002D4FDD">
      <w:pPr>
        <w:rPr>
          <w:rFonts w:cs="Arial"/>
        </w:rPr>
      </w:pPr>
    </w:p>
    <w:p w14:paraId="60D32CC2" w14:textId="77777777" w:rsidR="006242EC" w:rsidRDefault="006242EC" w:rsidP="002D4FDD">
      <w:pPr>
        <w:rPr>
          <w:rFonts w:cs="Arial"/>
        </w:rPr>
      </w:pPr>
    </w:p>
    <w:p w14:paraId="2068EB64" w14:textId="77777777" w:rsidR="002D4FDD" w:rsidRPr="008877F9" w:rsidRDefault="00624628" w:rsidP="002D4FDD">
      <w:pPr>
        <w:shd w:val="clear" w:color="auto" w:fill="D9F2D0"/>
        <w:rPr>
          <w:rFonts w:cs="Arial"/>
          <w:sz w:val="24"/>
          <w:szCs w:val="24"/>
        </w:rPr>
      </w:pPr>
      <w:r>
        <w:rPr>
          <w:b/>
          <w:sz w:val="24"/>
          <w:bdr w:val="nil"/>
        </w:rPr>
        <w:t xml:space="preserve">Empfehlungen für nationale und lokale Behörden: </w:t>
      </w:r>
      <w:r>
        <w:rPr>
          <w:sz w:val="24"/>
          <w:bdr w:val="nil"/>
        </w:rPr>
        <w:t>Zusammenarbeit mit Organisationen von Menschen mit Behinderungen, um Qualitätssicherungsstandards für Dienstleistungen für Menschen mit Behinderungen zu entwerfen, damit diese ein selbstbestimmtes Leben fördern. Dies sollte auf der Grundlage des nationalen Kontexts und der Bedürfnisse der lokalen Bevölkerung von Personen mit Behinderungen geschehen.</w:t>
      </w:r>
    </w:p>
    <w:p w14:paraId="741B17CB" w14:textId="77777777" w:rsidR="002D4FDD" w:rsidRDefault="002D4FDD" w:rsidP="002D4FDD"/>
    <w:p w14:paraId="4E6CB6FD" w14:textId="77777777" w:rsidR="002D4FDD" w:rsidRDefault="00624628" w:rsidP="002D4FDD">
      <w:pPr>
        <w:pStyle w:val="Titre3"/>
      </w:pPr>
      <w:bookmarkStart w:id="27" w:name="_Toc161062581"/>
      <w:r>
        <w:rPr>
          <w:bdr w:val="nil"/>
        </w:rPr>
        <w:t>Unabhängige Überwachungs- und Warnsysteme hinsichtlich der Menschenrechte</w:t>
      </w:r>
      <w:bookmarkEnd w:id="27"/>
    </w:p>
    <w:p w14:paraId="3BB4E5A5" w14:textId="77777777" w:rsidR="002D4FDD" w:rsidRPr="007B6E65" w:rsidRDefault="00624628" w:rsidP="002D4FDD">
      <w:pPr>
        <w:rPr>
          <w:rFonts w:cs="Arial"/>
          <w:sz w:val="24"/>
          <w:szCs w:val="24"/>
        </w:rPr>
      </w:pPr>
      <w:r>
        <w:rPr>
          <w:sz w:val="24"/>
          <w:szCs w:val="24"/>
          <w:bdr w:val="nil"/>
        </w:rPr>
        <w:br/>
      </w:r>
      <w:r>
        <w:rPr>
          <w:sz w:val="24"/>
          <w:bdr w:val="nil"/>
        </w:rPr>
        <w:t xml:space="preserve">Es ist wichtig, dass Bürgerinnen und Bürger Alarm schlagen können, wenn sie Fälle von Menschenrechtsverletzungen in Einrichtungen sowie in anderen Zusammenhängen feststellen. Dadurch werden Fälle wie die oben in diesem Dokument erwähnten, in denen </w:t>
      </w:r>
      <w:r>
        <w:rPr>
          <w:sz w:val="24"/>
          <w:bdr w:val="nil"/>
        </w:rPr>
        <w:lastRenderedPageBreak/>
        <w:t xml:space="preserve">Menschenrechtsverletzungen nicht gemeldet werden und über lange Zeiträume andauern, eingedämmt. </w:t>
      </w:r>
    </w:p>
    <w:p w14:paraId="25DACDB3" w14:textId="77777777" w:rsidR="002D4FDD" w:rsidRDefault="00624628" w:rsidP="002D4FDD">
      <w:pPr>
        <w:rPr>
          <w:rFonts w:cs="Arial"/>
          <w:sz w:val="24"/>
          <w:szCs w:val="24"/>
        </w:rPr>
      </w:pPr>
      <w:r>
        <w:rPr>
          <w:sz w:val="24"/>
          <w:bdr w:val="nil"/>
        </w:rPr>
        <w:t>Um dies zu ermöglichen, muss das Warnsystem einfach sein. Die Art und Weise, wie eine Person ihre Bedenken äußern kann, muss sehr klar und bekannt sein. Wir brauchen leicht zugängliche und gut bekannte Anlaufstellen, die die Bedürfnisse von Personen mit Behinderungen in Bezug auf die Barrierefreiheit berücksichtigen. Die Kontaktstellen müssen von allen Dienstleistern völlig unabhängig sein. Die Verfügbarkeit dieses Dienstes muss auch in allen Einrichtungen oder Wohnzentren, in denen Dienstleistungen erbracht werden, deutlich angekündigt werden. Dazu wären zum Beispiel Poster nötig, aus denen ersichtlich ist, an wen man sich bei Problemen wenden kann, mit allen verfügbaren Kontaktdaten und einem QR-Code, der die Person direkt mit einer Person verbindet, die sich um ihre Beschwerde kümmern kann.</w:t>
      </w:r>
    </w:p>
    <w:p w14:paraId="56120EF0" w14:textId="77777777" w:rsidR="002D4FDD" w:rsidRDefault="00624628" w:rsidP="002D4FDD">
      <w:pPr>
        <w:rPr>
          <w:rFonts w:cs="Arial"/>
          <w:sz w:val="24"/>
          <w:szCs w:val="24"/>
        </w:rPr>
      </w:pPr>
      <w:r>
        <w:rPr>
          <w:sz w:val="24"/>
          <w:bdr w:val="nil"/>
        </w:rPr>
        <w:t>Anonymität und Schutz müssen auch den Personen garantiert werden, die Menschenrechtsverletzungen melden, insbesondere denjenigen, die noch in Einrichtungen wohnen oder dort arbeiten.</w:t>
      </w:r>
    </w:p>
    <w:p w14:paraId="0DD3EEE6" w14:textId="77777777" w:rsidR="002D4FDD" w:rsidRDefault="00624628" w:rsidP="002D4FDD">
      <w:pPr>
        <w:rPr>
          <w:rFonts w:cs="Arial"/>
          <w:sz w:val="24"/>
          <w:szCs w:val="24"/>
        </w:rPr>
      </w:pPr>
      <w:r>
        <w:rPr>
          <w:sz w:val="24"/>
          <w:bdr w:val="nil"/>
        </w:rPr>
        <w:t>Zusätzlich zu den oben genannten Punkten bedarf es auch eindeutig einer Überwachung und Bewusstseinsbildung seitens der Menschenrechtsinstitutionen, um die Einhaltung der Standards zu gewährleisten und Mängel zu identifizieren. Viele Menschen fühlen sich vielleicht aus verschiedenen Gründen zu ängstlich oder unfähig, die vorgeschlagenen Kommunikationsmethoden zur Meldung von Missbrauch zu nutzen.</w:t>
      </w:r>
    </w:p>
    <w:p w14:paraId="16809BA3" w14:textId="77777777" w:rsidR="002D4FDD" w:rsidRDefault="002D4FDD" w:rsidP="002D4FDD">
      <w:pPr>
        <w:rPr>
          <w:rFonts w:cs="Arial"/>
          <w:sz w:val="24"/>
          <w:szCs w:val="24"/>
        </w:rPr>
      </w:pPr>
    </w:p>
    <w:p w14:paraId="5EDF8AE3" w14:textId="77777777" w:rsidR="006242EC" w:rsidRDefault="006242EC" w:rsidP="002D4FDD">
      <w:pPr>
        <w:rPr>
          <w:rFonts w:cs="Arial"/>
          <w:sz w:val="24"/>
          <w:szCs w:val="24"/>
        </w:rPr>
      </w:pPr>
    </w:p>
    <w:p w14:paraId="40E01C07" w14:textId="77777777" w:rsidR="006242EC" w:rsidRDefault="006242EC" w:rsidP="002D4FDD">
      <w:pPr>
        <w:rPr>
          <w:rFonts w:cs="Arial"/>
          <w:sz w:val="24"/>
          <w:szCs w:val="24"/>
        </w:rPr>
      </w:pPr>
    </w:p>
    <w:p w14:paraId="70A01228" w14:textId="77777777" w:rsidR="006242EC" w:rsidRDefault="006242EC" w:rsidP="002D4FDD">
      <w:pPr>
        <w:rPr>
          <w:rFonts w:cs="Arial"/>
          <w:sz w:val="24"/>
          <w:szCs w:val="24"/>
        </w:rPr>
      </w:pPr>
    </w:p>
    <w:p w14:paraId="47E56BA9" w14:textId="77777777" w:rsidR="006242EC" w:rsidRDefault="006242EC" w:rsidP="002D4FDD">
      <w:pPr>
        <w:rPr>
          <w:rFonts w:cs="Arial"/>
          <w:sz w:val="24"/>
          <w:szCs w:val="24"/>
        </w:rPr>
      </w:pPr>
    </w:p>
    <w:p w14:paraId="47601839" w14:textId="77777777" w:rsidR="002D4FDD" w:rsidRDefault="00624628" w:rsidP="002D4FDD">
      <w:pPr>
        <w:shd w:val="clear" w:color="auto" w:fill="D9F2D0"/>
        <w:rPr>
          <w:rFonts w:cs="Arial"/>
          <w:sz w:val="24"/>
          <w:szCs w:val="24"/>
        </w:rPr>
      </w:pPr>
      <w:r>
        <w:rPr>
          <w:b/>
          <w:sz w:val="24"/>
          <w:bdr w:val="nil"/>
        </w:rPr>
        <w:t xml:space="preserve">Empfehlungen für nationale und lokale Behörden: </w:t>
      </w:r>
      <w:r>
        <w:rPr>
          <w:sz w:val="24"/>
          <w:bdr w:val="nil"/>
        </w:rPr>
        <w:t xml:space="preserve">eine Anlaufstelle einrichten, die Warnungen und Beschwerden über Menschenrechtsprobleme von Menschen mit Behinderungen entgegennimmt. Die Kontaktdaten müssen allgemein bekannt sein, es muss eine Zugänglichkeit gegeben sein, damit die Bürger ihre Anliegen frei mitteilen können, und denjenigen, die Menschenrechtsverletzungen melden, müssen Schutz und Anonymität garantiert werden. </w:t>
      </w:r>
    </w:p>
    <w:p w14:paraId="4C8E16C7" w14:textId="77777777" w:rsidR="002D4FDD" w:rsidRDefault="00624628" w:rsidP="002D4FDD">
      <w:pPr>
        <w:shd w:val="clear" w:color="auto" w:fill="D9F2D0"/>
        <w:rPr>
          <w:rFonts w:cs="Arial"/>
          <w:sz w:val="24"/>
          <w:szCs w:val="24"/>
        </w:rPr>
      </w:pPr>
      <w:r>
        <w:rPr>
          <w:sz w:val="24"/>
          <w:bdr w:val="nil"/>
        </w:rPr>
        <w:t xml:space="preserve">Die Überprüfung der Wahrung der Menschenrechte sollte in allen bestehenden Einrichtungen regelmäßig stattfinden. Menschenrechtsorganisationen und Organisationen von Menschen mit Behinderungen müssen an der Festlegung der Standards, nach denen diese Überprüfung </w:t>
      </w:r>
      <w:r>
        <w:rPr>
          <w:sz w:val="24"/>
          <w:bdr w:val="nil"/>
        </w:rPr>
        <w:lastRenderedPageBreak/>
        <w:t xml:space="preserve">durchgeführt werden soll, und an der Ermittlung von Lücken während dieser Überprüfung beteiligt werden. </w:t>
      </w:r>
    </w:p>
    <w:p w14:paraId="020CA27E" w14:textId="77777777" w:rsidR="002D4FDD" w:rsidRDefault="00624628" w:rsidP="002D4FDD">
      <w:pPr>
        <w:shd w:val="clear" w:color="auto" w:fill="D9F2D0"/>
        <w:rPr>
          <w:rFonts w:cs="Arial"/>
          <w:sz w:val="24"/>
          <w:szCs w:val="24"/>
        </w:rPr>
      </w:pPr>
      <w:r>
        <w:rPr>
          <w:sz w:val="24"/>
          <w:bdr w:val="nil"/>
        </w:rPr>
        <w:t>Weiterer erleichterter Zugang zur Justiz durch Rechtsfähigkeit und Unterstützung bei der Entscheidungsfindung.</w:t>
      </w:r>
    </w:p>
    <w:p w14:paraId="39C27937" w14:textId="77777777" w:rsidR="002D4FDD" w:rsidRDefault="002D4FDD" w:rsidP="002D4FDD">
      <w:pPr>
        <w:rPr>
          <w:rFonts w:cs="Arial"/>
          <w:sz w:val="24"/>
          <w:szCs w:val="24"/>
        </w:rPr>
      </w:pPr>
    </w:p>
    <w:p w14:paraId="74B10AB9" w14:textId="77777777" w:rsidR="002D4FDD" w:rsidRPr="00FE36CA" w:rsidRDefault="00624628" w:rsidP="002D4FDD">
      <w:pPr>
        <w:pStyle w:val="Titre3"/>
      </w:pPr>
      <w:bookmarkStart w:id="28" w:name="_Toc161062582"/>
      <w:r>
        <w:rPr>
          <w:bdr w:val="nil"/>
        </w:rPr>
        <w:t>Sensibilisierung für Alternativen</w:t>
      </w:r>
      <w:bookmarkEnd w:id="28"/>
      <w:r>
        <w:rPr>
          <w:bdr w:val="nil"/>
        </w:rPr>
        <w:t xml:space="preserve"> </w:t>
      </w:r>
    </w:p>
    <w:p w14:paraId="46F54096" w14:textId="77777777" w:rsidR="002D4FDD" w:rsidRPr="007B6E65" w:rsidRDefault="00624628" w:rsidP="002D4FDD">
      <w:pPr>
        <w:rPr>
          <w:rFonts w:cs="Arial"/>
          <w:sz w:val="24"/>
          <w:szCs w:val="24"/>
        </w:rPr>
      </w:pPr>
      <w:r>
        <w:rPr>
          <w:sz w:val="24"/>
          <w:bdr w:val="nil"/>
        </w:rPr>
        <w:t xml:space="preserve">Damit Nachbarschaftsdienste genutzt werden können, müssen sie auch den Menschen, die sie nutzen können, und ihren Familien bekannt sein. Informationen über Alternativen zu Einrichtungen müssen daher den dort lebenden Menschen und ihrem Unterstützungsnetzwerk deutlich kommuniziert werden. Es ist besonders wichtig, dass die Informationen über diese Dienste auf leicht verständliche Weise und in zugänglichen Formaten bereitgestellt werden. Es ist von entscheidender Bedeutung, dass diese Informationen auch Personen erreichen, die derzeit in Einrichtungen leben, und dass ihnen ihre Optionen und die Auswirkungen jeder Wahl klar dargelegt werden. </w:t>
      </w:r>
    </w:p>
    <w:p w14:paraId="49BB8B31" w14:textId="77777777" w:rsidR="002D4FDD" w:rsidRPr="007B6E65" w:rsidRDefault="00624628" w:rsidP="002D4FDD">
      <w:pPr>
        <w:rPr>
          <w:rFonts w:cs="Arial"/>
          <w:sz w:val="24"/>
          <w:szCs w:val="24"/>
        </w:rPr>
      </w:pPr>
      <w:r>
        <w:rPr>
          <w:sz w:val="24"/>
          <w:bdr w:val="nil"/>
        </w:rPr>
        <w:t xml:space="preserve">Peer-Support ist eine sehr gute Möglichkeit, diesen Informationsaustausch zu erleichtern. Personen mit Behinderungen, die Nachbarschaftsdienste in Anspruch genommen haben oder derzeit nutzen, können Personen, die sich in der gleichen Situation befinden, klar erklären, wie diese Dienste funktionieren und welche Unterschiede sie für sie gebracht haben. Besonders wichtig ist die Unterstützung von Peers durch Personen, die selbst den Übergang von Einrichtungen zu einem selbstbestimmten Leben vollzogen haben. Diese Art des Peer-Support kann die vielen Veränderungen und neuen Erfahrungen hervorheben, denen eine Person außerhalb des institutionellen Rahmens begegnen wird. </w:t>
      </w:r>
    </w:p>
    <w:p w14:paraId="3AD7A254" w14:textId="77777777" w:rsidR="002D4FDD" w:rsidRPr="00FE36CA" w:rsidRDefault="002D4FDD" w:rsidP="002D4FDD">
      <w:pPr>
        <w:rPr>
          <w:rFonts w:cs="Arial"/>
        </w:rPr>
      </w:pPr>
      <w:r>
        <w:t xml:space="preserve">  </w:t>
      </w:r>
    </w:p>
    <w:p w14:paraId="7D7B4DF3" w14:textId="77777777" w:rsidR="002D4FDD" w:rsidRDefault="00624628" w:rsidP="002D4FDD">
      <w:pPr>
        <w:shd w:val="clear" w:color="auto" w:fill="D9F2D0"/>
        <w:rPr>
          <w:rFonts w:cs="Arial"/>
          <w:sz w:val="24"/>
          <w:szCs w:val="24"/>
        </w:rPr>
      </w:pPr>
      <w:r>
        <w:rPr>
          <w:b/>
          <w:sz w:val="24"/>
          <w:bdr w:val="nil"/>
        </w:rPr>
        <w:t xml:space="preserve">Empfehlungen für nationale und lokale Behörden: </w:t>
      </w:r>
      <w:r>
        <w:rPr>
          <w:sz w:val="24"/>
          <w:szCs w:val="24"/>
          <w:bdr w:val="nil"/>
        </w:rPr>
        <w:t xml:space="preserve">Allgemeine Verbreitung von Informationen über die Arten von Dienstleistungen, die Menschen mit Behinderungen zur Verfügung stehen, in verschiedenen zugänglichen und leicht verständlichen Formaten. Es ist besonders wichtig, dass diese Informationen den Menschen, die derzeit in Einrichtungen leben, und ihrem Unterstützungsnetzwerk zur Verfügung gestellt werden. </w:t>
      </w:r>
    </w:p>
    <w:p w14:paraId="7E6A5085" w14:textId="77777777" w:rsidR="002D4FDD" w:rsidRDefault="002D4FDD" w:rsidP="002D4FDD">
      <w:pPr>
        <w:rPr>
          <w:rFonts w:cs="Arial"/>
          <w:sz w:val="24"/>
          <w:szCs w:val="24"/>
        </w:rPr>
      </w:pPr>
    </w:p>
    <w:p w14:paraId="4F9FF839" w14:textId="77777777" w:rsidR="002D4FDD" w:rsidRPr="00FE36CA" w:rsidRDefault="00624628" w:rsidP="002D4FDD">
      <w:pPr>
        <w:pStyle w:val="Titre3"/>
      </w:pPr>
      <w:bookmarkStart w:id="29" w:name="_Toc161062583"/>
      <w:r>
        <w:rPr>
          <w:bdr w:val="nil"/>
        </w:rPr>
        <w:t>Unterstützung von Personen, die Einrichtungen verlassen</w:t>
      </w:r>
      <w:bookmarkEnd w:id="29"/>
    </w:p>
    <w:p w14:paraId="470290ED" w14:textId="77777777" w:rsidR="002D4FDD" w:rsidRPr="007B6E65" w:rsidRDefault="00624628" w:rsidP="002D4FDD">
      <w:pPr>
        <w:rPr>
          <w:rFonts w:cs="Arial"/>
          <w:sz w:val="24"/>
          <w:szCs w:val="24"/>
        </w:rPr>
      </w:pPr>
      <w:r>
        <w:rPr>
          <w:sz w:val="24"/>
          <w:bdr w:val="nil"/>
        </w:rPr>
        <w:t xml:space="preserve">Die Abschaffung von Einrichtungen ist eine Umstellung. Ebenso stellt die Gewöhnung an das Leben außerhalb von Einrichtungen für Menschen mit Behinderungen eine Umstellung dar. Während dieser Umstellung werden ehemalige Bewohner von Einrichtungen höchstwahrscheinlich kontinuierliche und persönliche Unterstützung benötigen, um erfolgreich zu sein und sich zu entfalten. </w:t>
      </w:r>
    </w:p>
    <w:p w14:paraId="487EB55B" w14:textId="77777777" w:rsidR="002D4FDD" w:rsidRPr="007B6E65" w:rsidRDefault="00624628" w:rsidP="002D4FDD">
      <w:pPr>
        <w:rPr>
          <w:rFonts w:cs="Arial"/>
          <w:sz w:val="24"/>
          <w:szCs w:val="24"/>
        </w:rPr>
      </w:pPr>
      <w:r>
        <w:rPr>
          <w:sz w:val="24"/>
          <w:bdr w:val="nil"/>
        </w:rPr>
        <w:lastRenderedPageBreak/>
        <w:t xml:space="preserve">Eine Einrichtung zu verlassen und in ein selbstbestimmtes Leben einzutreten bedeutet, sich an ein Leben zu gewöhnen, in dem man Entscheidungen treffen kann und in dem diese Entscheidungen einen echten Einfluss auf die tägliche Realität haben. Für viele Menschen, die bisher in Einrichtungen gelebt haben, wird diese Wahlfreiheit etwas völlig Neues sein. </w:t>
      </w:r>
    </w:p>
    <w:p w14:paraId="4000350E" w14:textId="77777777" w:rsidR="002D4FDD" w:rsidRDefault="00624628" w:rsidP="002D4FDD">
      <w:pPr>
        <w:rPr>
          <w:rFonts w:cs="Arial"/>
          <w:sz w:val="24"/>
          <w:szCs w:val="24"/>
        </w:rPr>
      </w:pPr>
      <w:r>
        <w:rPr>
          <w:sz w:val="24"/>
          <w:bdr w:val="nil"/>
        </w:rPr>
        <w:t>Daher ist es wichtig, dass die Unterstützung, die eine Person außerhalb einer Einrichtung und innerhalb der Gemeinschaft erhält, nicht nur auf die Hilfe im Zusammenhang mit ihrer Beeinträchtigung beschränkt ist. Die Person muss auch zusätzliche Unterstützung erhalten, um sich an ein neues Leben außerhalb der Zwänge einer Einrichtung anzupassen und sich auf ein selbstbestimmtes Leben einzustellen, z. B. durch Hilfe bei der Suche und dem Kauf von Geräten und Möbeln, die sie für ein selbstbestimmtes Leben in ihrer Wohnung benötigt. Außerdem sollte man sich bemühen, Einsamkeit und Isolation zu vermeiden, indem man Beziehungen zur örtlichen Gemeinschaft aufbaut, Beziehungen zu Freunden und Familie wiederbelebt (wenn die Person dies wünscht) und an sozialen und kulturellen Aktivitäten teilnimmt. Auch hier kann es besonders wirksam sein, diese Unterstützung durch Peers zu leisten.</w:t>
      </w:r>
    </w:p>
    <w:p w14:paraId="6300417C" w14:textId="77777777" w:rsidR="002D4FDD" w:rsidRDefault="002D4FDD" w:rsidP="002D4FDD">
      <w:pPr>
        <w:rPr>
          <w:rFonts w:cs="Arial"/>
          <w:sz w:val="24"/>
          <w:szCs w:val="24"/>
        </w:rPr>
      </w:pPr>
    </w:p>
    <w:p w14:paraId="1BDD255D" w14:textId="77777777" w:rsidR="002D4FDD" w:rsidRPr="007B6E65" w:rsidRDefault="00624628" w:rsidP="002D4FDD">
      <w:pPr>
        <w:shd w:val="clear" w:color="auto" w:fill="D9F2D0"/>
        <w:rPr>
          <w:rFonts w:cs="Arial"/>
          <w:sz w:val="24"/>
          <w:szCs w:val="24"/>
        </w:rPr>
      </w:pPr>
      <w:bookmarkStart w:id="30" w:name="_Hlk141883167"/>
      <w:r>
        <w:rPr>
          <w:b/>
          <w:sz w:val="24"/>
          <w:bdr w:val="nil"/>
        </w:rPr>
        <w:t xml:space="preserve">Empfehlungen für nationale und lokale Behörden: </w:t>
      </w:r>
      <w:r>
        <w:rPr>
          <w:sz w:val="24"/>
          <w:szCs w:val="24"/>
          <w:bdr w:val="nil"/>
        </w:rPr>
        <w:t>Sicherstellung einer angemessenen Unterstützung für alle Personen, die die Einrichtungen verlassen. Dabei ist Folgendes zu beachten:</w:t>
      </w:r>
    </w:p>
    <w:p w14:paraId="0DEF292B" w14:textId="77777777" w:rsidR="002D4FDD" w:rsidRPr="007B6E65" w:rsidRDefault="00624628" w:rsidP="002D4FDD">
      <w:pPr>
        <w:pStyle w:val="Paragraphedeliste"/>
        <w:numPr>
          <w:ilvl w:val="0"/>
          <w:numId w:val="5"/>
        </w:numPr>
        <w:shd w:val="clear" w:color="auto" w:fill="D9F2D0"/>
        <w:ind w:left="1077" w:hanging="357"/>
        <w:rPr>
          <w:rFonts w:ascii="Arial" w:hAnsi="Arial" w:cs="Arial"/>
          <w:sz w:val="24"/>
          <w:szCs w:val="24"/>
        </w:rPr>
      </w:pPr>
      <w:r>
        <w:rPr>
          <w:rFonts w:ascii="Arial" w:hAnsi="Arial"/>
          <w:sz w:val="24"/>
          <w:bdr w:val="nil"/>
        </w:rPr>
        <w:t xml:space="preserve">Bereitstellung von zugänglichen Informationen und Unterstützung für Menschen mit Behinderungen, die in Einrichtungen gelebt haben, um zu klären, welche Optionen sie in Bezug auf Unterbringung und Hilfsdienste außerhalb von Einrichtungen haben. </w:t>
      </w:r>
    </w:p>
    <w:p w14:paraId="2B0B1BEE" w14:textId="77777777" w:rsidR="002D4FDD" w:rsidRPr="007B6E65" w:rsidRDefault="00624628" w:rsidP="002D4FDD">
      <w:pPr>
        <w:pStyle w:val="Paragraphedeliste"/>
        <w:numPr>
          <w:ilvl w:val="0"/>
          <w:numId w:val="5"/>
        </w:numPr>
        <w:shd w:val="clear" w:color="auto" w:fill="D9F2D0"/>
        <w:ind w:left="1077" w:hanging="357"/>
        <w:rPr>
          <w:rFonts w:ascii="Arial" w:hAnsi="Arial" w:cs="Arial"/>
          <w:sz w:val="24"/>
          <w:szCs w:val="24"/>
        </w:rPr>
      </w:pPr>
      <w:r>
        <w:rPr>
          <w:rFonts w:ascii="Arial" w:hAnsi="Arial"/>
          <w:sz w:val="24"/>
          <w:bdr w:val="nil"/>
        </w:rPr>
        <w:t>Begleitung ehemaliger Bewohner von Einrichtungen beim Übergang in ein Leben in der Gemeinschaft und Unterstützung bei der Wiedereingliederung in ein Leben, das auf ihren eigenen Entscheidungen und ihrer eigenen Kontrolle beruht. Dies sollte durch Unterstützung von Peers, anderen Menschen mit Behinderungen und ihren Organisationen oder durch spezialisierte Sozialdienste geschehen. Diese Unterstützung sollte nicht von den in den Einrichtungen tätigen Mitarbeitern geleistet werden.</w:t>
      </w:r>
    </w:p>
    <w:p w14:paraId="643B53F9" w14:textId="77777777" w:rsidR="002D4FDD" w:rsidRPr="007B6E65" w:rsidRDefault="00624628" w:rsidP="002D4FDD">
      <w:pPr>
        <w:pStyle w:val="Paragraphedeliste"/>
        <w:numPr>
          <w:ilvl w:val="0"/>
          <w:numId w:val="5"/>
        </w:numPr>
        <w:shd w:val="clear" w:color="auto" w:fill="D9F2D0"/>
        <w:ind w:left="1077" w:hanging="357"/>
        <w:rPr>
          <w:rFonts w:ascii="Arial" w:hAnsi="Arial" w:cs="Arial"/>
          <w:sz w:val="24"/>
          <w:szCs w:val="24"/>
        </w:rPr>
      </w:pPr>
      <w:r>
        <w:rPr>
          <w:rFonts w:ascii="Arial" w:hAnsi="Arial"/>
          <w:sz w:val="24"/>
          <w:bdr w:val="nil"/>
        </w:rPr>
        <w:t>Verstärkung der Beziehungen zu Familienangehörigen oder Freunden, wenn die Person dies wünscht.</w:t>
      </w:r>
    </w:p>
    <w:p w14:paraId="5311617B" w14:textId="77777777" w:rsidR="002D4FDD" w:rsidRPr="007B6E65" w:rsidRDefault="00624628" w:rsidP="002D4FDD">
      <w:pPr>
        <w:pStyle w:val="Paragraphedeliste"/>
        <w:numPr>
          <w:ilvl w:val="0"/>
          <w:numId w:val="5"/>
        </w:numPr>
        <w:shd w:val="clear" w:color="auto" w:fill="D9F2D0"/>
        <w:ind w:left="1077" w:hanging="357"/>
        <w:rPr>
          <w:rFonts w:ascii="Arial" w:hAnsi="Arial" w:cs="Arial"/>
          <w:sz w:val="24"/>
          <w:szCs w:val="24"/>
        </w:rPr>
      </w:pPr>
      <w:r>
        <w:rPr>
          <w:rFonts w:ascii="Arial" w:hAnsi="Arial"/>
          <w:sz w:val="24"/>
          <w:bdr w:val="nil"/>
        </w:rPr>
        <w:t>Behandlung von psychologischen und physischen Traumata, die in den Einrichtungen erlitten wurden, durch Zugang zu Rehabilitation, Therapie, Selbsthilfegruppen, Rechtsbeistand usw.</w:t>
      </w:r>
    </w:p>
    <w:p w14:paraId="5CD58658" w14:textId="77777777" w:rsidR="002D4FDD" w:rsidRPr="007B6E65" w:rsidRDefault="00624628" w:rsidP="002D4FDD">
      <w:pPr>
        <w:pStyle w:val="Paragraphedeliste"/>
        <w:numPr>
          <w:ilvl w:val="0"/>
          <w:numId w:val="5"/>
        </w:numPr>
        <w:shd w:val="clear" w:color="auto" w:fill="D9F2D0"/>
        <w:ind w:left="1077" w:hanging="357"/>
        <w:rPr>
          <w:rFonts w:ascii="Arial" w:hAnsi="Arial" w:cs="Arial"/>
          <w:sz w:val="24"/>
          <w:szCs w:val="24"/>
        </w:rPr>
      </w:pPr>
      <w:r>
        <w:rPr>
          <w:rFonts w:ascii="Arial" w:hAnsi="Arial"/>
          <w:sz w:val="24"/>
          <w:bdr w:val="nil"/>
        </w:rPr>
        <w:t xml:space="preserve">Ehemaligen Bewohnerinnen und Bewohnern Beschäftigungs-, Bildungs- und andere Möglichkeiten bieten und sicherstellen, dass sie Zugang </w:t>
      </w:r>
      <w:bookmarkEnd w:id="30"/>
      <w:r>
        <w:rPr>
          <w:rFonts w:ascii="Arial" w:hAnsi="Arial"/>
          <w:sz w:val="24"/>
          <w:bdr w:val="nil"/>
        </w:rPr>
        <w:t>zu allen notwendigen allgemeinen Dienstleistungen mit der nötigen Unterstützung haben.</w:t>
      </w:r>
    </w:p>
    <w:p w14:paraId="068FD5EF" w14:textId="77777777" w:rsidR="002D4FDD" w:rsidRDefault="002D4FDD" w:rsidP="002D4FDD"/>
    <w:p w14:paraId="570EDDE2" w14:textId="77777777" w:rsidR="002D4FDD" w:rsidRPr="00B933E4" w:rsidRDefault="002D4FDD" w:rsidP="002D4FDD"/>
    <w:p w14:paraId="7062F972" w14:textId="77777777" w:rsidR="002D4FDD" w:rsidRPr="00FE36CA" w:rsidRDefault="00624628" w:rsidP="002D4FDD">
      <w:pPr>
        <w:pStyle w:val="Titre2"/>
        <w:numPr>
          <w:ilvl w:val="0"/>
          <w:numId w:val="21"/>
        </w:numPr>
        <w:jc w:val="center"/>
      </w:pPr>
      <w:bookmarkStart w:id="31" w:name="_Toc161062584"/>
      <w:r>
        <w:rPr>
          <w:bdr w:val="nil"/>
        </w:rPr>
        <w:t>Förderung eines selbstbestimmten Lebens und der Inklusion</w:t>
      </w:r>
      <w:bookmarkEnd w:id="31"/>
    </w:p>
    <w:p w14:paraId="20087C28" w14:textId="77777777" w:rsidR="002D4FDD" w:rsidRDefault="002D4FDD" w:rsidP="002D4FDD">
      <w:pPr>
        <w:pStyle w:val="Titre3"/>
      </w:pPr>
    </w:p>
    <w:p w14:paraId="008FDA2F" w14:textId="77777777" w:rsidR="002D4FDD" w:rsidRPr="00FE36CA" w:rsidRDefault="00624628" w:rsidP="002D4FDD">
      <w:pPr>
        <w:pStyle w:val="Titre3"/>
      </w:pPr>
      <w:bookmarkStart w:id="32" w:name="_Toc161062585"/>
      <w:r>
        <w:rPr>
          <w:bdr w:val="nil"/>
        </w:rPr>
        <w:t>Zugänglicher und erschwinglicher Wohnraum</w:t>
      </w:r>
      <w:bookmarkEnd w:id="32"/>
      <w:r>
        <w:rPr>
          <w:bdr w:val="nil"/>
        </w:rPr>
        <w:t xml:space="preserve"> </w:t>
      </w:r>
    </w:p>
    <w:p w14:paraId="29B1F3C6" w14:textId="77777777" w:rsidR="002D4FDD" w:rsidRDefault="00624628" w:rsidP="002D4FDD">
      <w:pPr>
        <w:rPr>
          <w:rFonts w:cs="Arial"/>
          <w:sz w:val="24"/>
          <w:szCs w:val="24"/>
        </w:rPr>
      </w:pPr>
      <w:r>
        <w:rPr>
          <w:sz w:val="24"/>
          <w:bdr w:val="nil"/>
        </w:rPr>
        <w:t>Die mangelnde Zugänglichkeit von Wohnungen ist einer der Gründe, warum manche Menschen mit Behinderungen in stationäre Einrichtungen umziehen müssen. Die öffentliche Hand muss dringend etwas gegen den Mangel an zugänglichen und erschwinglichen Wohnungen in den europäischen Ländern unternehmen</w:t>
      </w:r>
      <w:r w:rsidR="002D4FDD">
        <w:rPr>
          <w:rStyle w:val="Appelnotedebasdep"/>
          <w:sz w:val="24"/>
          <w:szCs w:val="24"/>
        </w:rPr>
        <w:footnoteReference w:id="13"/>
      </w:r>
      <w:r>
        <w:rPr>
          <w:sz w:val="24"/>
          <w:bdr w:val="nil"/>
        </w:rPr>
        <w:t xml:space="preserve">. </w:t>
      </w:r>
    </w:p>
    <w:p w14:paraId="2AE1BD56" w14:textId="77777777" w:rsidR="002D4FDD" w:rsidRDefault="00624628" w:rsidP="002D4FDD">
      <w:pPr>
        <w:rPr>
          <w:rFonts w:cs="Arial"/>
          <w:sz w:val="24"/>
          <w:szCs w:val="24"/>
        </w:rPr>
      </w:pPr>
      <w:r>
        <w:rPr>
          <w:sz w:val="24"/>
          <w:bdr w:val="nil"/>
        </w:rPr>
        <w:t xml:space="preserve">In die Wohnungspolitik muss die Perspektive der Behinderung einbezogen werden. Das bedeutet zum Beispiel, dass bei Projekten des sozialen Wohnungsbaus die Barrierefreiheit beachtet werden muss und dass es einen festen Prozentsatz an angepassten Häusern mit höheren Barrierefreiheitsmerkmalen gibt. Personen, die in Einrichtungen leben oder von der Unterbringung in Einrichtungen bedroht sind, müssen bei der Vergabe von Sozialwohnungen, die für die zugänglich sind, Vorrang haben. </w:t>
      </w:r>
    </w:p>
    <w:p w14:paraId="31295962" w14:textId="77777777" w:rsidR="002D4FDD" w:rsidRDefault="00624628" w:rsidP="002D4FDD">
      <w:pPr>
        <w:rPr>
          <w:rFonts w:cs="Arial"/>
          <w:sz w:val="24"/>
          <w:szCs w:val="24"/>
        </w:rPr>
      </w:pPr>
      <w:r>
        <w:rPr>
          <w:sz w:val="24"/>
          <w:bdr w:val="nil"/>
        </w:rPr>
        <w:t>Darüber hinaus muss die öffentliche Verwaltung auch finanzielle Unterstützung bereitstellen, um unzugängliche Wohnungen zu renovieren oder die notwendigen Anpassungen vorzunehmen, damit eine Person mit einer Behinderung selbstständig in ihrer Wohnung leben kann.</w:t>
      </w:r>
    </w:p>
    <w:p w14:paraId="1A56CB39" w14:textId="77777777" w:rsidR="002D4FDD" w:rsidRDefault="00624628" w:rsidP="002D4FDD">
      <w:pPr>
        <w:rPr>
          <w:rFonts w:cs="Arial"/>
          <w:sz w:val="24"/>
          <w:szCs w:val="24"/>
        </w:rPr>
      </w:pPr>
      <w:r>
        <w:rPr>
          <w:sz w:val="24"/>
          <w:bdr w:val="nil"/>
        </w:rPr>
        <w:t xml:space="preserve">Die Unterbringung von Menschen mit Behinderungen innerhalb der Gemeinschaft sollte dem Prinzip „gewöhnliche Straßen, gewöhnliche Häuser“ folgen. Menschen mit Behinderungen sollen neben Menschen ohne Behinderungen als vollwertige Mitglieder der Gemeinschaft leben können, ohne dass ein Unterschied gemacht wird, wo und in welcher Umgebung sie wohnen können. </w:t>
      </w:r>
    </w:p>
    <w:p w14:paraId="0EBF17E6" w14:textId="7E770177" w:rsidR="002D4FDD" w:rsidRDefault="00624628" w:rsidP="002D4FDD">
      <w:pPr>
        <w:rPr>
          <w:rFonts w:cs="Arial"/>
          <w:sz w:val="24"/>
          <w:szCs w:val="24"/>
        </w:rPr>
      </w:pPr>
      <w:r>
        <w:rPr>
          <w:sz w:val="24"/>
          <w:bdr w:val="nil"/>
        </w:rPr>
        <w:t xml:space="preserve">Zugängliche und erschwingliche Wohnungen werden mit zunehmendem Alter auch allen Mitgliedern der Gesellschaft zugutekommen, indem sie es ihnen ermöglichen, „vor Ort alt zu werden“ und ein aktiveres und gesünderes Leben in ihrer eigenen Gemeinschaft zu führen. </w:t>
      </w:r>
    </w:p>
    <w:p w14:paraId="540487A4" w14:textId="77777777" w:rsidR="002D4FDD" w:rsidRDefault="002D4FDD" w:rsidP="002D4FDD">
      <w:pPr>
        <w:rPr>
          <w:rFonts w:cs="Arial"/>
          <w:sz w:val="24"/>
          <w:szCs w:val="24"/>
        </w:rPr>
      </w:pPr>
    </w:p>
    <w:p w14:paraId="4CD47FCC" w14:textId="77777777" w:rsidR="002D4FDD" w:rsidRDefault="00624628" w:rsidP="002D4FDD">
      <w:pPr>
        <w:shd w:val="clear" w:color="auto" w:fill="D9F2D0"/>
        <w:rPr>
          <w:rFonts w:cs="Arial"/>
          <w:sz w:val="24"/>
          <w:szCs w:val="24"/>
        </w:rPr>
      </w:pPr>
      <w:r>
        <w:rPr>
          <w:b/>
          <w:sz w:val="24"/>
          <w:bdr w:val="nil"/>
        </w:rPr>
        <w:t xml:space="preserve">Empfehlungen für nationale und lokale Behörden: </w:t>
      </w:r>
      <w:r>
        <w:rPr>
          <w:sz w:val="24"/>
          <w:bdr w:val="nil"/>
        </w:rPr>
        <w:t>Verabschiedung einer Wohnungspolitik, die die Verfügbarkeit und Erschwinglichkeit von barrierefreiem Wohnraum erhöht, insbesondere durch Projekte des sozialen Wohnungsbaus. Wohnhilfen einführen, die es Menschen mit Behinderungen und ihren Familien ermöglichen, in ihren Wohnungen zu bleiben.</w:t>
      </w:r>
    </w:p>
    <w:p w14:paraId="0F3795C5" w14:textId="77777777" w:rsidR="002D4FDD" w:rsidRDefault="002D4FDD" w:rsidP="002D4FDD">
      <w:pPr>
        <w:rPr>
          <w:rFonts w:cs="Arial"/>
          <w:sz w:val="24"/>
          <w:szCs w:val="24"/>
        </w:rPr>
      </w:pPr>
    </w:p>
    <w:p w14:paraId="6279662E" w14:textId="77777777" w:rsidR="006242EC" w:rsidRDefault="006242EC" w:rsidP="002D4FDD">
      <w:pPr>
        <w:pStyle w:val="Titre3"/>
        <w:rPr>
          <w:rFonts w:eastAsia="Arial" w:cs="Arial"/>
          <w:szCs w:val="24"/>
          <w:bdr w:val="nil"/>
        </w:rPr>
      </w:pPr>
    </w:p>
    <w:p w14:paraId="6651D4B7" w14:textId="77777777" w:rsidR="002D4FDD" w:rsidRDefault="00624628" w:rsidP="002D4FDD">
      <w:pPr>
        <w:pStyle w:val="Titre3"/>
      </w:pPr>
      <w:bookmarkStart w:id="33" w:name="_Toc161062586"/>
      <w:r>
        <w:rPr>
          <w:bdr w:val="nil"/>
        </w:rPr>
        <w:t>Alternative Wohnmodelle und Wohngeld</w:t>
      </w:r>
      <w:bookmarkEnd w:id="33"/>
    </w:p>
    <w:p w14:paraId="6C5A60CC" w14:textId="77777777" w:rsidR="002D4FDD" w:rsidRPr="007B6E65" w:rsidRDefault="00624628" w:rsidP="002D4FDD">
      <w:pPr>
        <w:rPr>
          <w:rFonts w:cs="Arial"/>
          <w:sz w:val="24"/>
          <w:szCs w:val="24"/>
        </w:rPr>
      </w:pPr>
      <w:r>
        <w:rPr>
          <w:sz w:val="24"/>
          <w:bdr w:val="nil"/>
        </w:rPr>
        <w:t xml:space="preserve">Selbstbestimmtes Leben schließt nicht aus, dass sich einige Menschen dafür entscheiden, mit anderen zusammenzuleben, seien es andere Menschen mit Behinderungen oder Menschen ohne Behinderungen. </w:t>
      </w:r>
    </w:p>
    <w:p w14:paraId="624056A9" w14:textId="77777777" w:rsidR="002D4FDD" w:rsidRPr="007B6E65" w:rsidRDefault="00624628" w:rsidP="002D4FDD">
      <w:pPr>
        <w:rPr>
          <w:rFonts w:cs="Arial"/>
          <w:sz w:val="24"/>
          <w:szCs w:val="24"/>
        </w:rPr>
      </w:pPr>
      <w:r>
        <w:rPr>
          <w:sz w:val="24"/>
          <w:bdr w:val="nil"/>
        </w:rPr>
        <w:t>In manchen Fällen ziehen es z. B. Menschen mit Behinderungen vor, ihre Wohnung zu teilen, um die Mietkosten zu senken. Ein Beispiel dafür sind selbstverwaltete Eigentumswohnungen. Im Gegensatz zu einer stationären Einrichtung liegt die Entscheidung über die Lebensbedingungen und die Mitbewohner in den Händen des Menschen mit Behinderung. Genau wie bei Wohngemeinschaften von Menschen ohne Behinderung kann sich selbstbestimmtes Wohnen auf Wohngemeinschaften von Menschen mit Behinderung beziehen:</w:t>
      </w:r>
    </w:p>
    <w:p w14:paraId="5949889B" w14:textId="77777777" w:rsidR="002D4FDD" w:rsidRPr="007B6E65" w:rsidRDefault="00624628" w:rsidP="002D4FDD">
      <w:pPr>
        <w:pStyle w:val="Paragraphedeliste"/>
        <w:numPr>
          <w:ilvl w:val="0"/>
          <w:numId w:val="6"/>
        </w:numPr>
        <w:ind w:left="1077" w:hanging="357"/>
        <w:rPr>
          <w:rFonts w:ascii="Arial" w:hAnsi="Arial" w:cs="Arial"/>
          <w:sz w:val="24"/>
          <w:szCs w:val="24"/>
        </w:rPr>
      </w:pPr>
      <w:r>
        <w:rPr>
          <w:rFonts w:ascii="Arial" w:hAnsi="Arial"/>
          <w:sz w:val="24"/>
          <w:bdr w:val="nil"/>
        </w:rPr>
        <w:t>Personen, die sich bereits vor dem Zusammenleben kennen und gemeinsam die Entscheidung getroffen haben, eine Wohnung zu teilen;</w:t>
      </w:r>
    </w:p>
    <w:p w14:paraId="750A7BC5" w14:textId="77777777" w:rsidR="002D4FDD" w:rsidRPr="007B6E65" w:rsidRDefault="00624628" w:rsidP="002D4FDD">
      <w:pPr>
        <w:pStyle w:val="Paragraphedeliste"/>
        <w:numPr>
          <w:ilvl w:val="0"/>
          <w:numId w:val="6"/>
        </w:numPr>
        <w:ind w:left="1077" w:hanging="357"/>
        <w:rPr>
          <w:rFonts w:ascii="Arial" w:hAnsi="Arial" w:cs="Arial"/>
          <w:sz w:val="24"/>
          <w:szCs w:val="24"/>
        </w:rPr>
      </w:pPr>
      <w:r>
        <w:rPr>
          <w:rFonts w:ascii="Arial" w:hAnsi="Arial"/>
          <w:sz w:val="24"/>
          <w:bdr w:val="nil"/>
        </w:rPr>
        <w:t>Der Hauptmieter der Wohnung, der an der Auswahl eines Mitbewohners beteiligt ist (über eine Anzeige usw.), wie es bei nicht behinderten Personen der Fall ist, die sich eine Wohnung teilen;</w:t>
      </w:r>
    </w:p>
    <w:p w14:paraId="2E3B3020" w14:textId="77777777" w:rsidR="002D4FDD" w:rsidRPr="007B6E65" w:rsidRDefault="00624628" w:rsidP="002D4FDD">
      <w:pPr>
        <w:pStyle w:val="Paragraphedeliste"/>
        <w:numPr>
          <w:ilvl w:val="0"/>
          <w:numId w:val="6"/>
        </w:numPr>
        <w:ind w:left="1077" w:hanging="357"/>
        <w:rPr>
          <w:rFonts w:ascii="Arial" w:hAnsi="Arial" w:cs="Arial"/>
          <w:sz w:val="24"/>
          <w:szCs w:val="24"/>
        </w:rPr>
      </w:pPr>
      <w:r>
        <w:rPr>
          <w:rFonts w:ascii="Arial" w:hAnsi="Arial"/>
          <w:sz w:val="24"/>
          <w:bdr w:val="nil"/>
        </w:rPr>
        <w:t>Jemand, für den eine Wohngemeinschaft zu einem bestimmten Zeitpunkt die einzige finanzielle Wahl ist, der sich aber später für einen anderen Lebensstil entscheiden kann, wenn ihm die Wohngemeinschaft nicht mehr zusagt;</w:t>
      </w:r>
    </w:p>
    <w:p w14:paraId="2FB20355" w14:textId="77777777" w:rsidR="002D4FDD" w:rsidRPr="007B6E65" w:rsidRDefault="00624628" w:rsidP="002D4FDD">
      <w:pPr>
        <w:pStyle w:val="Paragraphedeliste"/>
        <w:numPr>
          <w:ilvl w:val="0"/>
          <w:numId w:val="6"/>
        </w:numPr>
        <w:ind w:left="1077" w:hanging="357"/>
        <w:rPr>
          <w:rFonts w:ascii="Arial" w:hAnsi="Arial" w:cs="Arial"/>
          <w:sz w:val="24"/>
          <w:szCs w:val="24"/>
        </w:rPr>
      </w:pPr>
      <w:r>
        <w:rPr>
          <w:rFonts w:ascii="Arial" w:hAnsi="Arial"/>
          <w:sz w:val="24"/>
          <w:bdr w:val="nil"/>
        </w:rPr>
        <w:t>Personen, deren persönliche Hilfe oder Unterstützung nicht an ihre Wohnung gebunden ist und nicht mit jemand anderem geteilt werden muss; z. B. zwei Personen, die mit eigenen persönlichen Assistenten zusammenleben;</w:t>
      </w:r>
    </w:p>
    <w:p w14:paraId="5B36A733" w14:textId="77777777" w:rsidR="002D4FDD" w:rsidRPr="007B6E65" w:rsidRDefault="00624628" w:rsidP="002D4FDD">
      <w:pPr>
        <w:rPr>
          <w:rFonts w:cs="Arial"/>
          <w:sz w:val="24"/>
          <w:szCs w:val="24"/>
        </w:rPr>
      </w:pPr>
      <w:r>
        <w:rPr>
          <w:sz w:val="24"/>
          <w:bdr w:val="nil"/>
        </w:rPr>
        <w:t>In ihrer Wohngemeinschaft sollten die Bewohner einen Wohnvertrag haben, mit dem gleichen Schutz vor plötzlicher Zwangsräumung und dem gleichen Recht auf Vertragsauflösung wie die Rechtsnorm ihres Landes. Der Wohnvertrag muss vollständig von allen Verträgen über Betreuungsleistungen getrennt sein. Es ist auch wichtig, dass Mieter unter Vormundschaft eine unabhängige Erleichterung erhalten, die es ihnen ermöglicht, einen Mietvertrag abzuschließen oder zu beenden, wann immer sie dies wünschen.</w:t>
      </w:r>
    </w:p>
    <w:p w14:paraId="5AB928C4" w14:textId="77777777" w:rsidR="002D4FDD" w:rsidRDefault="00624628" w:rsidP="002D4FDD">
      <w:pPr>
        <w:rPr>
          <w:rFonts w:cs="Arial"/>
        </w:rPr>
      </w:pPr>
      <w:r>
        <w:rPr>
          <w:sz w:val="24"/>
          <w:bdr w:val="nil"/>
        </w:rPr>
        <w:t>Damit selbstverwaltete Wohngemeinschaften möglich werden, ist es entscheidend, dass eine ausreichende Anzahl an zugänglichen und erschwinglichen Wohnungen (einschließlich Sozialwohnungen) für Menschen mit Behinderungen, einschließlich Menschen mit begrenztem Einkommen, zur Verfügung steht.</w:t>
      </w:r>
      <w:r>
        <w:rPr>
          <w:bdr w:val="nil"/>
        </w:rPr>
        <w:t xml:space="preserve"> </w:t>
      </w:r>
    </w:p>
    <w:p w14:paraId="0C5DCDDC" w14:textId="77777777" w:rsidR="002D4FDD" w:rsidRDefault="002D4FDD" w:rsidP="002D4FDD">
      <w:pPr>
        <w:rPr>
          <w:rFonts w:cs="Arial"/>
          <w:sz w:val="24"/>
          <w:szCs w:val="24"/>
        </w:rPr>
      </w:pPr>
    </w:p>
    <w:p w14:paraId="05AF1E8F" w14:textId="77777777" w:rsidR="002D4FDD" w:rsidRPr="007220CF" w:rsidRDefault="00624628" w:rsidP="002D4FDD">
      <w:pPr>
        <w:shd w:val="clear" w:color="auto" w:fill="D9F2D0"/>
        <w:rPr>
          <w:rFonts w:cs="Arial"/>
          <w:sz w:val="24"/>
          <w:szCs w:val="24"/>
        </w:rPr>
      </w:pPr>
      <w:r>
        <w:rPr>
          <w:b/>
          <w:sz w:val="24"/>
          <w:bdr w:val="nil"/>
        </w:rPr>
        <w:t xml:space="preserve">Empfehlungen für nationale und lokale Behörden: </w:t>
      </w:r>
      <w:r>
        <w:rPr>
          <w:sz w:val="24"/>
          <w:szCs w:val="24"/>
          <w:bdr w:val="nil"/>
        </w:rPr>
        <w:t>Förderung des selbstbestimmten Zusammenlebens als Option für diejenigen, die dies wünschen. Es sollte auch Unterstützung bei der Suche nach einer Wohnung in der Gemeinschaft, beim Ausfüllen von Mietverträgen und bei der Organisation einer Haushaltshilfe, falls erforderlich, geleistet werden.</w:t>
      </w:r>
    </w:p>
    <w:p w14:paraId="2A33F8D1" w14:textId="77777777" w:rsidR="002D4FDD" w:rsidRPr="00FE36CA" w:rsidRDefault="002D4FDD" w:rsidP="002D4FDD"/>
    <w:p w14:paraId="26DD2B7D" w14:textId="77777777" w:rsidR="002D4FDD" w:rsidRPr="00FE36CA" w:rsidRDefault="00624628" w:rsidP="002D4FDD">
      <w:pPr>
        <w:pStyle w:val="Titre3"/>
      </w:pPr>
      <w:bookmarkStart w:id="34" w:name="_Toc161062587"/>
      <w:r>
        <w:rPr>
          <w:bdr w:val="nil"/>
        </w:rPr>
        <w:t>Persönliche Unterstützung</w:t>
      </w:r>
      <w:bookmarkEnd w:id="34"/>
      <w:r>
        <w:rPr>
          <w:bdr w:val="nil"/>
        </w:rPr>
        <w:t xml:space="preserve"> </w:t>
      </w:r>
    </w:p>
    <w:p w14:paraId="0DDA31C8" w14:textId="77777777" w:rsidR="002D4FDD" w:rsidRDefault="00624628" w:rsidP="002D4FDD">
      <w:pPr>
        <w:rPr>
          <w:rFonts w:cs="Arial"/>
          <w:sz w:val="24"/>
          <w:szCs w:val="24"/>
        </w:rPr>
      </w:pPr>
      <w:r>
        <w:rPr>
          <w:sz w:val="24"/>
          <w:bdr w:val="nil"/>
        </w:rPr>
        <w:t>Persönliche Assistenz ist zwar nicht der einzige Hilfsdienst, den es geben sollte, aber viele Menschen könnten ohne sie nicht selbstständig leben. Wenn sie richtig durchgeführt wird, ermöglicht die persönliche Assistenz Menschen mit Behinderungen, ihr Leben zu meistern, und Kindern mit Behinderungen, in ihren Familien aufzuwachsen. Persönliche Assistenz ist eine der Säulen des selbstbestimmten Lebens und kann mit anderen personalisierten Dienstleistungen kombiniert werden.</w:t>
      </w:r>
    </w:p>
    <w:p w14:paraId="06B47132" w14:textId="77777777" w:rsidR="002D4FDD" w:rsidRPr="007B6E65" w:rsidRDefault="00624628" w:rsidP="002D4FDD">
      <w:pPr>
        <w:rPr>
          <w:rFonts w:cs="Arial"/>
          <w:sz w:val="24"/>
          <w:szCs w:val="24"/>
        </w:rPr>
      </w:pPr>
      <w:r>
        <w:rPr>
          <w:sz w:val="24"/>
          <w:bdr w:val="nil"/>
        </w:rPr>
        <w:t xml:space="preserve">Damit die persönliche Assistenz ein selbstbestimmtes Leben erleichtert, müssen Menschen mit Behinderungen entscheiden, wer ihnen hilft (ggf. mit Hilfe einer unterstützten Entscheidungsfindung). Dies kann dadurch erleichtert werden, dass es ein persönliches Budget gibt, das direkt an die Person mit Behinderung ausgehändigt wird, anstatt über den Dienstleister zu gehen. </w:t>
      </w:r>
    </w:p>
    <w:p w14:paraId="53672CBB" w14:textId="77777777" w:rsidR="002D4FDD" w:rsidRDefault="00624628" w:rsidP="002D4FDD">
      <w:pPr>
        <w:rPr>
          <w:rFonts w:cs="Arial"/>
          <w:sz w:val="24"/>
          <w:szCs w:val="24"/>
        </w:rPr>
      </w:pPr>
      <w:r>
        <w:rPr>
          <w:sz w:val="24"/>
          <w:bdr w:val="nil"/>
        </w:rPr>
        <w:t>Wie bereits erwähnt, ist es wichtig, dass persönliche Assistenten von der Person, die sie einsetzen wird, geschult werden, damit sie in der Lage sind, die Art von Unterstützung zu leisten, die diese Person wünscht und benötigt. Menschen mit Behinderungen müssen ihrerseits in der Führung ihrer Assistenten geschult werden, und es muss eine zusätzliche Ausbildung für alle geben, um gute Arbeitsbedingungen und die Einhaltung der Beschäftigungsgesetze zu gewährleisten. Organisationen von Menschen mit Behinderungen, wie z. B. Zentren für selbstbestimmtes Leben, spielen hierbei eine wesentliche Rolle.</w:t>
      </w:r>
    </w:p>
    <w:p w14:paraId="382BEA29" w14:textId="77777777" w:rsidR="002D4FDD" w:rsidRDefault="00624628" w:rsidP="002D4FDD">
      <w:pPr>
        <w:shd w:val="clear" w:color="auto" w:fill="D9F2D0"/>
        <w:rPr>
          <w:rFonts w:cs="Arial"/>
          <w:sz w:val="24"/>
          <w:szCs w:val="24"/>
        </w:rPr>
      </w:pPr>
      <w:r>
        <w:rPr>
          <w:b/>
          <w:sz w:val="24"/>
          <w:bdr w:val="nil"/>
        </w:rPr>
        <w:t xml:space="preserve">Empfehlungen für nationale und lokale Behörden: </w:t>
      </w:r>
      <w:r>
        <w:rPr>
          <w:sz w:val="24"/>
          <w:bdr w:val="nil"/>
        </w:rPr>
        <w:t>erhebliche Erhöhung des Budget für Programme zur persönlichen Assistenz, um sie zu einer praktikablen Option für Menschen zu machen, die dies wünschen.</w:t>
      </w:r>
    </w:p>
    <w:p w14:paraId="07C2F3C6" w14:textId="77777777" w:rsidR="002D4FDD" w:rsidRPr="007B6E65" w:rsidRDefault="00624628" w:rsidP="002D4FDD">
      <w:pPr>
        <w:shd w:val="clear" w:color="auto" w:fill="D9F2D0"/>
        <w:rPr>
          <w:rFonts w:cs="Arial"/>
          <w:sz w:val="24"/>
          <w:szCs w:val="24"/>
        </w:rPr>
      </w:pPr>
      <w:r>
        <w:rPr>
          <w:sz w:val="24"/>
          <w:bdr w:val="nil"/>
        </w:rPr>
        <w:t>Damit Programme zur persönlichen Assistenz für Menschen mit Behinderungen wirksam sind, ist es entscheidend:</w:t>
      </w:r>
    </w:p>
    <w:p w14:paraId="5D0EB457" w14:textId="77777777" w:rsidR="002D4FDD" w:rsidRPr="007B6E65" w:rsidRDefault="00624628" w:rsidP="002D4FDD">
      <w:pPr>
        <w:pStyle w:val="Paragraphedeliste"/>
        <w:numPr>
          <w:ilvl w:val="0"/>
          <w:numId w:val="8"/>
        </w:numPr>
        <w:shd w:val="clear" w:color="auto" w:fill="D9F2D0"/>
        <w:rPr>
          <w:rFonts w:ascii="Arial" w:hAnsi="Arial" w:cs="Arial"/>
          <w:sz w:val="24"/>
          <w:szCs w:val="24"/>
        </w:rPr>
      </w:pPr>
      <w:r>
        <w:rPr>
          <w:rFonts w:ascii="Arial" w:hAnsi="Arial"/>
          <w:sz w:val="24"/>
          <w:bdr w:val="nil"/>
        </w:rPr>
        <w:t>den Betrag der vom Staat übernommenen persönlichen Assistenz entsprechend dem Unterstützungsbedarf jedes Einzelnen zu erhöhen;</w:t>
      </w:r>
    </w:p>
    <w:p w14:paraId="18295D67" w14:textId="77777777" w:rsidR="002D4FDD" w:rsidRPr="007B6E65" w:rsidRDefault="00624628" w:rsidP="002D4FDD">
      <w:pPr>
        <w:pStyle w:val="Paragraphedeliste"/>
        <w:numPr>
          <w:ilvl w:val="0"/>
          <w:numId w:val="8"/>
        </w:numPr>
        <w:shd w:val="clear" w:color="auto" w:fill="D9F2D0"/>
        <w:rPr>
          <w:rFonts w:ascii="Arial" w:hAnsi="Arial" w:cs="Arial"/>
          <w:sz w:val="24"/>
          <w:szCs w:val="24"/>
        </w:rPr>
      </w:pPr>
      <w:r>
        <w:rPr>
          <w:rFonts w:ascii="Arial" w:hAnsi="Arial"/>
          <w:sz w:val="24"/>
          <w:bdr w:val="nil"/>
        </w:rPr>
        <w:t>sicherzustellen, dass persönliche Assistenz am Arbeitsplatz und zu Hause, in der Ausbildung oder wo immer die Person sie benötigt, bereitgestellt wird;</w:t>
      </w:r>
    </w:p>
    <w:p w14:paraId="05F0EC33" w14:textId="77777777" w:rsidR="002D4FDD" w:rsidRPr="007B6E65" w:rsidRDefault="00624628" w:rsidP="002D4FDD">
      <w:pPr>
        <w:pStyle w:val="Paragraphedeliste"/>
        <w:numPr>
          <w:ilvl w:val="0"/>
          <w:numId w:val="8"/>
        </w:numPr>
        <w:shd w:val="clear" w:color="auto" w:fill="D9F2D0"/>
        <w:rPr>
          <w:rFonts w:ascii="Arial" w:hAnsi="Arial" w:cs="Arial"/>
          <w:sz w:val="24"/>
          <w:szCs w:val="24"/>
        </w:rPr>
      </w:pPr>
      <w:r>
        <w:rPr>
          <w:rFonts w:ascii="Arial" w:hAnsi="Arial"/>
          <w:sz w:val="24"/>
          <w:bdr w:val="nil"/>
        </w:rPr>
        <w:t>Wartezeiten für Personen zu verkürzen, die eine staatlich finanzierte persönliche Hilfe beantragt haben;</w:t>
      </w:r>
    </w:p>
    <w:p w14:paraId="06A2015A" w14:textId="77777777" w:rsidR="002D4FDD" w:rsidRPr="007B6E65" w:rsidRDefault="00624628" w:rsidP="002D4FDD">
      <w:pPr>
        <w:pStyle w:val="Paragraphedeliste"/>
        <w:numPr>
          <w:ilvl w:val="0"/>
          <w:numId w:val="8"/>
        </w:numPr>
        <w:shd w:val="clear" w:color="auto" w:fill="D9F2D0"/>
        <w:rPr>
          <w:rFonts w:ascii="Arial" w:hAnsi="Arial" w:cs="Arial"/>
          <w:sz w:val="24"/>
          <w:szCs w:val="24"/>
        </w:rPr>
      </w:pPr>
      <w:r>
        <w:rPr>
          <w:rFonts w:ascii="Arial" w:hAnsi="Arial"/>
          <w:sz w:val="24"/>
          <w:bdr w:val="nil"/>
        </w:rPr>
        <w:t>sicherzustellen, dass persönliche Budgets an die Person gehen, die persönliche Assistenz benötigt, anstatt direkt an den Dienstleister zu gehen;</w:t>
      </w:r>
    </w:p>
    <w:p w14:paraId="101A7C3E" w14:textId="77777777" w:rsidR="002D4FDD" w:rsidRPr="007B6E65" w:rsidRDefault="00624628" w:rsidP="002D4FDD">
      <w:pPr>
        <w:pStyle w:val="Paragraphedeliste"/>
        <w:numPr>
          <w:ilvl w:val="0"/>
          <w:numId w:val="8"/>
        </w:numPr>
        <w:shd w:val="clear" w:color="auto" w:fill="D9F2D0"/>
        <w:rPr>
          <w:rFonts w:ascii="Arial" w:hAnsi="Arial" w:cs="Arial"/>
          <w:sz w:val="24"/>
          <w:szCs w:val="24"/>
        </w:rPr>
      </w:pPr>
      <w:r>
        <w:rPr>
          <w:rFonts w:ascii="Arial" w:hAnsi="Arial"/>
          <w:sz w:val="24"/>
          <w:bdr w:val="nil"/>
        </w:rPr>
        <w:t>sicherzustellen, dass Personen die persönliche Assistenz nicht entzogen wird, weil sie nur im Rahmen eines kurzfristigen Projekts geleistet wurde, das nun beendet wurde, oder weil die Finanzierung ausgeschöpft ist.</w:t>
      </w:r>
    </w:p>
    <w:p w14:paraId="631CFFE2" w14:textId="77777777" w:rsidR="002D4FDD" w:rsidRDefault="002D4FDD" w:rsidP="002D4FDD">
      <w:pPr>
        <w:rPr>
          <w:rFonts w:cs="Arial"/>
        </w:rPr>
      </w:pPr>
    </w:p>
    <w:p w14:paraId="6A916521" w14:textId="77777777" w:rsidR="00116DB0" w:rsidRDefault="00116DB0" w:rsidP="002D4FDD">
      <w:pPr>
        <w:pStyle w:val="Titre3"/>
        <w:rPr>
          <w:rFonts w:eastAsia="Arial" w:cs="Arial"/>
          <w:szCs w:val="24"/>
          <w:bdr w:val="nil"/>
        </w:rPr>
      </w:pPr>
    </w:p>
    <w:p w14:paraId="66E18FA2" w14:textId="77777777" w:rsidR="002D4FDD" w:rsidRPr="00FE36CA" w:rsidRDefault="00624628" w:rsidP="002D4FDD">
      <w:pPr>
        <w:pStyle w:val="Titre3"/>
      </w:pPr>
      <w:bookmarkStart w:id="35" w:name="_Toc161062588"/>
      <w:r>
        <w:rPr>
          <w:bdr w:val="nil"/>
        </w:rPr>
        <w:t>Ausbildung von Sozialarbeitern und persönlichen Assistenten</w:t>
      </w:r>
      <w:bookmarkEnd w:id="35"/>
    </w:p>
    <w:p w14:paraId="76502239" w14:textId="77777777" w:rsidR="002D4FDD" w:rsidRPr="007B6E65" w:rsidRDefault="00624628" w:rsidP="002D4FDD">
      <w:pPr>
        <w:rPr>
          <w:rFonts w:cs="Arial"/>
          <w:sz w:val="24"/>
          <w:szCs w:val="24"/>
        </w:rPr>
      </w:pPr>
      <w:r>
        <w:rPr>
          <w:sz w:val="24"/>
          <w:bdr w:val="nil"/>
        </w:rPr>
        <w:t>Die Leistungserbringer müssen im Prozess der Deinstitutionalisierung berücksichtigt werden. Sie sind unerlässlich, um ein selbstbestimmtes Leben zu verwirklichen, und spielen eine entscheidende Rolle bei der Bereitstellung personalisierter Dienstleistungen für Menschen mit Behinderungen in der Gemeinschaft.</w:t>
      </w:r>
    </w:p>
    <w:p w14:paraId="7B3DE5E1" w14:textId="30F322C6" w:rsidR="002D4FDD" w:rsidRPr="007B6E65" w:rsidRDefault="00624628" w:rsidP="002D4FDD">
      <w:pPr>
        <w:rPr>
          <w:rFonts w:cs="Arial"/>
          <w:sz w:val="24"/>
          <w:szCs w:val="24"/>
        </w:rPr>
      </w:pPr>
      <w:r>
        <w:rPr>
          <w:sz w:val="24"/>
          <w:bdr w:val="nil"/>
        </w:rPr>
        <w:t xml:space="preserve">Dienstleister müssen mit Instrumenten ausgestattet werden, die es ihnen ermöglichen, Menschen mit Behinderungen durch einen personalisierten Ansatz zu unterstützen. Die Vorbereitung und Schulung auf ihre Rolle </w:t>
      </w:r>
      <w:r w:rsidR="00E50CEE">
        <w:rPr>
          <w:sz w:val="24"/>
          <w:bdr w:val="nil"/>
        </w:rPr>
        <w:t>müssen</w:t>
      </w:r>
      <w:r>
        <w:rPr>
          <w:sz w:val="24"/>
          <w:bdr w:val="nil"/>
        </w:rPr>
        <w:t xml:space="preserve"> auf den Artikeln des UN-Übereinkommens über die Rechte von Menschen mit Behinderungen und seiner Allgemeinen Bemerkung Nr. 5 basieren. Das bedeutet, dass sie über die Rechte der Person, die ihre Dienste in Anspruch nimmt, informiert sein müssen. Sie müssen auch darin geschult werden, sich an der Person mit Behinderung, die sie unterstützen, ein Beispiel zu nehmen und die Art der Unterstützung, die sie leisten, an die Bedürfnisse und Wünsche der Person anzupassen.</w:t>
      </w:r>
    </w:p>
    <w:p w14:paraId="10A8EEA3" w14:textId="77777777" w:rsidR="002D4FDD" w:rsidRDefault="00624628" w:rsidP="002D4FDD">
      <w:pPr>
        <w:rPr>
          <w:rFonts w:cs="Arial"/>
          <w:sz w:val="24"/>
          <w:szCs w:val="24"/>
        </w:rPr>
      </w:pPr>
      <w:r>
        <w:rPr>
          <w:sz w:val="24"/>
          <w:bdr w:val="nil"/>
        </w:rPr>
        <w:t>Die Ausbildung muss in Zusammenarbeit mit der Person mit Behinderung entwickelt werden. Sie kann von Menschen mit Behinderungen selbst erbracht werden, die persönliche Assistenten so schulen können, dass sie die individuellen Bedürfnisse der Menschen, die die Dienste nutzen, verstehen. Dies geschieht derzeit in einer Reihe von Ländern, darunter auch</w:t>
      </w:r>
      <w:hyperlink r:id="rId27">
        <w:r>
          <w:rPr>
            <w:color w:val="0000FF"/>
            <w:sz w:val="24"/>
            <w:u w:val="single"/>
            <w:bdr w:val="nil"/>
          </w:rPr>
          <w:t xml:space="preserve"> Norwegen</w:t>
        </w:r>
      </w:hyperlink>
      <w:r>
        <w:rPr>
          <w:sz w:val="24"/>
          <w:bdr w:val="nil"/>
        </w:rPr>
        <w:t xml:space="preserve">. Sie kann auch von Zentren für selbstbestimmtes Leben oder Organisationen von Menschen mit Behinderungen bereitgestellt werden. </w:t>
      </w:r>
    </w:p>
    <w:p w14:paraId="3BD7AD78" w14:textId="77777777" w:rsidR="002D4FDD" w:rsidRPr="007B6E65" w:rsidRDefault="00624628" w:rsidP="002D4FDD">
      <w:pPr>
        <w:rPr>
          <w:rFonts w:cs="Arial"/>
          <w:sz w:val="24"/>
          <w:szCs w:val="24"/>
        </w:rPr>
      </w:pPr>
      <w:r>
        <w:rPr>
          <w:sz w:val="24"/>
          <w:bdr w:val="nil"/>
        </w:rPr>
        <w:t xml:space="preserve">Arbeitnehmer für den Sektor zu gewinnen, ihnen gute Arbeitsbedingungen und Möglichkeiten zur beruflichen Weiterentwicklung zu bieten, ist auch entscheidend für das Funktionieren der Dienstleistungserbringung und um sicherzustellen, dass die Verfügbarkeit von persönlichen Assistenten und anderen Betreuungskräften die Nachfrage decken kann. </w:t>
      </w:r>
    </w:p>
    <w:p w14:paraId="5C26AEA8" w14:textId="77777777" w:rsidR="002D4FDD" w:rsidRDefault="00624628" w:rsidP="002D4FDD">
      <w:pPr>
        <w:rPr>
          <w:rFonts w:cs="Arial"/>
          <w:sz w:val="24"/>
          <w:szCs w:val="24"/>
        </w:rPr>
      </w:pPr>
      <w:r>
        <w:rPr>
          <w:sz w:val="24"/>
          <w:bdr w:val="nil"/>
        </w:rPr>
        <w:t>Es ist auch von entscheidender Bedeutung, dass das in herkömmlichen Diensten tätige Personal darin geschult wird, wie es seine Dienste für Menschen mit Behinderungen zugänglich machen kann. Dies sollte für alle Dienstleistungen gelten, insbesondere aber für solche, die häufig in Anspruch genommen werden, wie Verkehr, medizinische Dienste, Bildung und öffentliche Verwaltung.</w:t>
      </w:r>
    </w:p>
    <w:p w14:paraId="5307499B" w14:textId="77777777" w:rsidR="002D4FDD" w:rsidRDefault="00624628" w:rsidP="002D4FDD">
      <w:pPr>
        <w:shd w:val="clear" w:color="auto" w:fill="D9F2D0"/>
        <w:rPr>
          <w:rFonts w:cs="Arial"/>
          <w:sz w:val="24"/>
          <w:szCs w:val="24"/>
        </w:rPr>
      </w:pPr>
      <w:r>
        <w:rPr>
          <w:b/>
          <w:sz w:val="24"/>
          <w:bdr w:val="nil"/>
        </w:rPr>
        <w:t xml:space="preserve">Empfehlungen für nationale und lokale Behörden: </w:t>
      </w:r>
      <w:r>
        <w:rPr>
          <w:sz w:val="24"/>
          <w:bdr w:val="nil"/>
        </w:rPr>
        <w:t xml:space="preserve">Karrieren im Bereich der persönlichen Assistenz fördern und in die hochwertige Ausbildung von persönlichen Assistenten und Dienstleistern auf der Grundlage der Grundsätze der UN-BRK investieren. Auch die von Menschen mit Behinderungen durchgeführte Ausbildung sollte gefördert werden. </w:t>
      </w:r>
    </w:p>
    <w:p w14:paraId="599FB2B2" w14:textId="77777777" w:rsidR="002D4FDD" w:rsidRPr="007220CF" w:rsidRDefault="00624628" w:rsidP="002D4FDD">
      <w:pPr>
        <w:shd w:val="clear" w:color="auto" w:fill="D9F2D0"/>
        <w:rPr>
          <w:rFonts w:cs="Arial"/>
          <w:sz w:val="24"/>
          <w:szCs w:val="24"/>
        </w:rPr>
      </w:pPr>
      <w:r>
        <w:rPr>
          <w:sz w:val="24"/>
          <w:bdr w:val="nil"/>
        </w:rPr>
        <w:t>Die Schulung von Mitarbeitern, die in regulären Diensten arbeiten, muss ebenfalls Priorität erhalten, damit sie in der Lage sind, die Bedürfnisse von Menschen mit Behinderungen zu verstehen und im Rahmen ihrer Arbeit darauf zu reagieren.</w:t>
      </w:r>
    </w:p>
    <w:p w14:paraId="5E974C60" w14:textId="77777777" w:rsidR="002D4FDD" w:rsidRDefault="002D4FDD" w:rsidP="002D4FDD">
      <w:pPr>
        <w:rPr>
          <w:rFonts w:cs="Arial"/>
        </w:rPr>
      </w:pPr>
    </w:p>
    <w:p w14:paraId="6D59E66C" w14:textId="77777777" w:rsidR="002D4FDD" w:rsidRPr="00FE36CA" w:rsidRDefault="00624628" w:rsidP="002D4FDD">
      <w:pPr>
        <w:pStyle w:val="Titre3"/>
      </w:pPr>
      <w:bookmarkStart w:id="36" w:name="_Toc161062589"/>
      <w:r>
        <w:rPr>
          <w:bdr w:val="nil"/>
        </w:rPr>
        <w:lastRenderedPageBreak/>
        <w:t>Selbstbestimmtes Leben für Menschen, die ein hohes Maß an Unterstützung benötigen</w:t>
      </w:r>
      <w:bookmarkEnd w:id="36"/>
      <w:r>
        <w:rPr>
          <w:bdr w:val="nil"/>
        </w:rPr>
        <w:t xml:space="preserve">  </w:t>
      </w:r>
    </w:p>
    <w:p w14:paraId="2CE9BE7D" w14:textId="77777777" w:rsidR="002D4FDD" w:rsidRPr="00D004B3" w:rsidRDefault="00624628" w:rsidP="002D4FDD">
      <w:pPr>
        <w:rPr>
          <w:sz w:val="24"/>
          <w:szCs w:val="24"/>
        </w:rPr>
      </w:pPr>
      <w:r>
        <w:rPr>
          <w:sz w:val="24"/>
          <w:bdr w:val="nil"/>
        </w:rPr>
        <w:t xml:space="preserve">Das Recht auf ein selbstbestimmtes Leben hört nicht allein deshalb auf zu gelten, weil eine Person einen höheren Unterstützungsbedarf hat. </w:t>
      </w:r>
      <w:hyperlink r:id="rId28" w:history="1">
        <w:r>
          <w:rPr>
            <w:color w:val="0000FF"/>
            <w:sz w:val="24"/>
            <w:u w:val="single"/>
            <w:bdr w:val="nil"/>
          </w:rPr>
          <w:t>Artikel 19 der UN-BRK</w:t>
        </w:r>
      </w:hyperlink>
      <w:r>
        <w:rPr>
          <w:sz w:val="24"/>
          <w:bdr w:val="nil"/>
        </w:rPr>
        <w:t xml:space="preserve"> unterscheidet nicht zwischen Menschen mit unterschiedlichem Unterstützungsbedarf und gilt für alle Menschen mit Behinderungen gleichermaßen. Das bedeutet, dass jeder Mensch das Recht auf ein selbstbestimmtes Leben haben sollte, unabhängig von den Hindernissen, mit denen er konfrontiert ist. </w:t>
      </w:r>
    </w:p>
    <w:p w14:paraId="1E3D81A0" w14:textId="77777777" w:rsidR="002D4FDD" w:rsidRPr="007B6E65" w:rsidRDefault="00624628" w:rsidP="002D4FDD">
      <w:pPr>
        <w:rPr>
          <w:rFonts w:cs="Arial"/>
          <w:sz w:val="24"/>
          <w:szCs w:val="24"/>
        </w:rPr>
      </w:pPr>
      <w:r>
        <w:rPr>
          <w:sz w:val="24"/>
          <w:bdr w:val="nil"/>
        </w:rPr>
        <w:t>Wie bereits erwähnt, bedeutet selbstbestimmtes Leben nicht, dass man alles allein machen muss. Es bedeutet, die notwendige Unterstützung entsprechend den Wünschen und Vorlieben zu erhalten, damit sie wie jeder andere unabhängige und selbstbestimmte Entscheidungen treffen können</w:t>
      </w:r>
      <w:r>
        <w:rPr>
          <w:bdr w:val="nil"/>
        </w:rPr>
        <w:t>.</w:t>
      </w:r>
    </w:p>
    <w:p w14:paraId="38A2A427" w14:textId="77777777" w:rsidR="002D4FDD" w:rsidRPr="007B6E65" w:rsidRDefault="00624628" w:rsidP="002D4FDD">
      <w:pPr>
        <w:rPr>
          <w:rFonts w:cs="Arial"/>
          <w:sz w:val="24"/>
          <w:szCs w:val="24"/>
        </w:rPr>
      </w:pPr>
      <w:r>
        <w:rPr>
          <w:sz w:val="24"/>
          <w:bdr w:val="nil"/>
        </w:rPr>
        <w:t xml:space="preserve">Personen mit hohem Unterstützungsbedarf werden jedoch eher in Einrichtungen untergebracht als Personen mit geringerem Unterstützungsbedarf. Selbst wenn man in der Gemeinschaft oder mit der Familie lebt, ist das Risiko, in allen Lebensbereichen kontrolliert zu werden, höher. </w:t>
      </w:r>
    </w:p>
    <w:p w14:paraId="52803B84" w14:textId="77777777" w:rsidR="002D4FDD" w:rsidRDefault="00624628" w:rsidP="002D4FDD">
      <w:pPr>
        <w:rPr>
          <w:rFonts w:cs="Arial"/>
          <w:sz w:val="24"/>
          <w:szCs w:val="24"/>
        </w:rPr>
      </w:pPr>
      <w:r>
        <w:rPr>
          <w:sz w:val="24"/>
          <w:bdr w:val="nil"/>
        </w:rPr>
        <w:t xml:space="preserve">Bei Personen, denen es schwerfällt, ihre Präferenzen verständlich zu machen, wie z. B. Personen, die sich nur nonverbal äußern können, muss besonders darauf geachtet werden, dass das Recht, Entscheidungen zu treffen, gewährleistet ist. Auch wenn es keine Patentlösung gibt, um die Entscheidungsfindung in solchen Fällen zu erleichtern, ist es entscheidend, dass alle möglichen Anstrengungen unternommen werden, um der Person die Optionen, die ihr zur Verfügung stehen, klar darzulegen. Klare und zugängliche Informationen sind von entscheidender Bedeutung, da nur auf der Grundlage dieser Informationen eine Entscheidung getroffen werden kann. Diese Arten von Entscheidungen variieren von sehr einfachen Dingen wie der Wahl des Mittagessens, der Entscheidung, wo man seine Freizeit verbringt, oder wo und mit wem man gerne leben würde. </w:t>
      </w:r>
    </w:p>
    <w:p w14:paraId="1C781E82" w14:textId="77777777" w:rsidR="002D4FDD" w:rsidRPr="007B6E65" w:rsidRDefault="00624628" w:rsidP="002D4FDD">
      <w:pPr>
        <w:rPr>
          <w:rFonts w:cs="Arial"/>
          <w:sz w:val="24"/>
          <w:szCs w:val="24"/>
        </w:rPr>
      </w:pPr>
      <w:r>
        <w:rPr>
          <w:sz w:val="24"/>
          <w:bdr w:val="nil"/>
        </w:rPr>
        <w:t xml:space="preserve">Die klare Darstellung von Optionen kann durch eine Reihe von Hilfsmitteln erleichtert werden, insbesondere durch die Verwendung von Piktogrammen und Fotografien. Auch hier gilt: Was für eine Person funktioniert, muss für eine andere nicht funktionieren, und wie man klare Informationen am besten präsentiert, hängt stark vom Einzelnen ab. </w:t>
      </w:r>
    </w:p>
    <w:p w14:paraId="473715C0" w14:textId="77777777" w:rsidR="002D4FDD" w:rsidRDefault="00624628" w:rsidP="002D4FDD">
      <w:pPr>
        <w:rPr>
          <w:rFonts w:eastAsia="Arial" w:cs="Arial"/>
          <w:sz w:val="24"/>
          <w:szCs w:val="24"/>
          <w:bdr w:val="nil"/>
        </w:rPr>
      </w:pPr>
      <w:r>
        <w:rPr>
          <w:sz w:val="24"/>
          <w:bdr w:val="nil"/>
        </w:rPr>
        <w:t>Es ist oft leichter, die von einer Person geäußerten Präferenzen zu verstehen, wenn sie die Wahl hat, wenn die Unterstützer sie gut kennen und ihre nonverbalen Zeichen deuten können. Besondere Aufmerksamkeit muss der Interpretation nonverbaler Signale gelten, die auf positive oder negative Reaktionen auf bestimmte Dinge hinweisen. Wenn mehr als eine Person unterstützt wird oder ein neuer Helfer beginnt, die Person zu unterstützen, sollten diese zu beobachtenden Hinweise klar kommuniziert werden, damit sie die Entscheidungen der Person nachvollziehen können</w:t>
      </w:r>
      <w:r w:rsidR="002D4FDD">
        <w:rPr>
          <w:rStyle w:val="Appelnotedebasdep"/>
          <w:sz w:val="24"/>
          <w:szCs w:val="24"/>
        </w:rPr>
        <w:footnoteReference w:id="14"/>
      </w:r>
      <w:r>
        <w:rPr>
          <w:sz w:val="24"/>
          <w:bdr w:val="nil"/>
        </w:rPr>
        <w:t xml:space="preserve">. </w:t>
      </w:r>
    </w:p>
    <w:p w14:paraId="274A4D41" w14:textId="77777777" w:rsidR="00116DB0" w:rsidRDefault="00116DB0" w:rsidP="002D4FDD">
      <w:pPr>
        <w:rPr>
          <w:rFonts w:eastAsia="Arial" w:cs="Arial"/>
          <w:sz w:val="24"/>
          <w:szCs w:val="24"/>
          <w:bdr w:val="nil"/>
        </w:rPr>
      </w:pPr>
    </w:p>
    <w:p w14:paraId="68827CAB" w14:textId="77777777" w:rsidR="00116DB0" w:rsidRPr="005A7BCB" w:rsidRDefault="00116DB0" w:rsidP="002D4FDD">
      <w:pPr>
        <w:rPr>
          <w:rFonts w:cs="Arial"/>
          <w:sz w:val="24"/>
          <w:szCs w:val="24"/>
        </w:rPr>
      </w:pPr>
    </w:p>
    <w:p w14:paraId="70F5A5F4" w14:textId="77777777" w:rsidR="002D4FDD" w:rsidRDefault="00624628" w:rsidP="002D4FDD">
      <w:pPr>
        <w:shd w:val="clear" w:color="auto" w:fill="D9F2D0"/>
        <w:rPr>
          <w:rFonts w:cs="Arial"/>
          <w:sz w:val="24"/>
          <w:szCs w:val="24"/>
        </w:rPr>
      </w:pPr>
      <w:r>
        <w:rPr>
          <w:b/>
          <w:sz w:val="24"/>
          <w:bdr w:val="nil"/>
        </w:rPr>
        <w:t xml:space="preserve">Empfehlungen für nationale und lokale Behörden: </w:t>
      </w:r>
      <w:r>
        <w:rPr>
          <w:sz w:val="24"/>
          <w:bdr w:val="nil"/>
        </w:rPr>
        <w:t xml:space="preserve">personalisierte Mechanismen einführen, um die Kontrolle der Person über ihr eigenes Leben zu maximieren. Dabei geht es insbesondere darum, den Präferenzen von Menschen mit hohem Unterstützungsbedarf gerecht zu werden, um ein selbstbestimmtes Leben in der Gemeinschaft zu gewährleisten. </w:t>
      </w:r>
    </w:p>
    <w:p w14:paraId="1AEC68D2" w14:textId="77777777" w:rsidR="002D4FDD" w:rsidRPr="00FE36CA" w:rsidRDefault="002D4FDD" w:rsidP="002D4FDD">
      <w:pPr>
        <w:rPr>
          <w:rFonts w:cs="Arial"/>
        </w:rPr>
      </w:pPr>
    </w:p>
    <w:p w14:paraId="7A7DF868" w14:textId="77777777" w:rsidR="002D4FDD" w:rsidRPr="00FE36CA" w:rsidRDefault="00624628" w:rsidP="002D4FDD">
      <w:pPr>
        <w:pStyle w:val="Titre3"/>
      </w:pPr>
      <w:bookmarkStart w:id="37" w:name="_Toc161062590"/>
      <w:r>
        <w:rPr>
          <w:bdr w:val="nil"/>
        </w:rPr>
        <w:t>Familiäre Unterstützung und informelle Pflege</w:t>
      </w:r>
      <w:bookmarkEnd w:id="37"/>
    </w:p>
    <w:p w14:paraId="4DAFAFDB" w14:textId="77777777" w:rsidR="002D4FDD" w:rsidRPr="007B6E65" w:rsidRDefault="00624628" w:rsidP="002D4FDD">
      <w:pPr>
        <w:rPr>
          <w:rFonts w:cs="Arial"/>
          <w:sz w:val="24"/>
          <w:szCs w:val="24"/>
        </w:rPr>
      </w:pPr>
      <w:r>
        <w:rPr>
          <w:sz w:val="24"/>
          <w:bdr w:val="nil"/>
        </w:rPr>
        <w:t xml:space="preserve">Viele Menschen mit Behinderungen sind auf informelle Pflege und/oder Hilfe angewiesen, insbesondere von Familienmitgliedern. Frauen übernehmen besonders häufig die Rolle der informellen Helferin. In einigen Fällen sind die Personen, die ihre Hilfe anbieten, selbst behindert. </w:t>
      </w:r>
    </w:p>
    <w:p w14:paraId="67FA4AFC" w14:textId="77777777" w:rsidR="002D4FDD" w:rsidRPr="007B6E65" w:rsidRDefault="00624628" w:rsidP="002D4FDD">
      <w:pPr>
        <w:rPr>
          <w:rFonts w:cs="Arial"/>
          <w:sz w:val="24"/>
          <w:szCs w:val="24"/>
        </w:rPr>
      </w:pPr>
      <w:r>
        <w:rPr>
          <w:sz w:val="24"/>
          <w:bdr w:val="nil"/>
        </w:rPr>
        <w:t xml:space="preserve">In vielen Fällen wird informelle Pflege geleistet, weil es keine öffentlichen Dienste zur Unterstützung und persönlichen Betreuung gibt. Aus Mangel an Wissen und Informationen über ihre Rechte oder Möglichkeiten unterstützen manche Familien ihre Angehörigen mit Behinderungen so lange, bis ihr körperlicher oder emotionaler Zustand dies nicht mehr zulässt. Manchmal hängt dies auch mit kulturellen Normen und der Erwartung zusammen, dass in einigen Ländern oder Regionen die Familie und nicht der Staat die Verantwortung für die Bereitstellung von Unterstützung übernimmt. In anderen Fällen kann es sich um die Präferenz der Person mit Behinderung handeln. </w:t>
      </w:r>
    </w:p>
    <w:p w14:paraId="081B8B01" w14:textId="77777777" w:rsidR="002D4FDD" w:rsidRDefault="00624628" w:rsidP="002D4FDD">
      <w:pPr>
        <w:rPr>
          <w:rFonts w:cs="Arial"/>
          <w:sz w:val="24"/>
          <w:szCs w:val="24"/>
        </w:rPr>
      </w:pPr>
      <w:r>
        <w:rPr>
          <w:sz w:val="24"/>
          <w:bdr w:val="nil"/>
        </w:rPr>
        <w:t xml:space="preserve">Bei der informellen und familiären Hilfe ist es vor allem wichtig, dass sie vom Menschen mit Behinderung gewählt und ihm oder der informellen Pflegekraft nicht aufgezwungen wird. In Ländern, in denen es kulturell oder traditionell üblich ist, dass die Familien die Betreuungsaufgaben selbst übernehmen, ist es umso wichtiger, dass die Möglichkeit einer externen persönlichen Betreuung angeboten wird und die Person nicht gezwungen wird, die Hilfe eines Familienmitglieds in Anspruch zu nehmen, wenn sie dies nicht möchte. </w:t>
      </w:r>
    </w:p>
    <w:p w14:paraId="23B05698" w14:textId="77777777" w:rsidR="002D4FDD" w:rsidRPr="007B6E65" w:rsidRDefault="00624628" w:rsidP="002D4FDD">
      <w:pPr>
        <w:rPr>
          <w:rFonts w:cs="Arial"/>
          <w:sz w:val="24"/>
          <w:szCs w:val="24"/>
        </w:rPr>
      </w:pPr>
      <w:r>
        <w:rPr>
          <w:sz w:val="24"/>
          <w:bdr w:val="nil"/>
        </w:rPr>
        <w:t xml:space="preserve">Wenn die Person tatsächlich die Hilfe eines Familienmitglieds vorzieht, ist es wichtig, dass der informelle Helfer oder die Person, die ihn unterstützt, für die geleistete Arbeit entlohnt wird. In diesem Fall muss die Finanzierung, wie beim Budget für persönliche Assistenz, über die Person mit Behinderung laufen. Das bedeutet, dass die Person, wenn sie sich irgendwann dazu entschließt, die Unterstützung zu wechseln, in der Lage ist, dies zu tun. </w:t>
      </w:r>
    </w:p>
    <w:p w14:paraId="3EF6C5A8" w14:textId="77777777" w:rsidR="002D4FDD" w:rsidRDefault="00624628" w:rsidP="002D4FDD">
      <w:pPr>
        <w:rPr>
          <w:rFonts w:eastAsia="Arial" w:cs="Arial"/>
          <w:sz w:val="24"/>
          <w:szCs w:val="24"/>
          <w:bdr w:val="nil"/>
        </w:rPr>
      </w:pPr>
      <w:r>
        <w:rPr>
          <w:sz w:val="24"/>
          <w:bdr w:val="nil"/>
        </w:rPr>
        <w:t xml:space="preserve">Es ist auch wichtig, dass informell Pflegende und Familienangehörige andere Unterstützungsleistungen erhalten, die es ihnen ermöglichen, sich zu erholen und ihre Beziehungen als Freunde, Nachbarn oder Familienmitglieder und nicht nur als Pflegekräfte aufrechtzuerhalten. Sie müssen eine Pause von ihrer unterstützenden Rolle machen können, und der Staat muss ihnen diese Aufgabe erleichtern. Dies kann auch dadurch erleichtert </w:t>
      </w:r>
      <w:r>
        <w:rPr>
          <w:sz w:val="24"/>
          <w:bdr w:val="nil"/>
        </w:rPr>
        <w:lastRenderedPageBreak/>
        <w:t>werden, dass die informelle Pflege bei Bedarf mit externer Hilfe kombiniert werden kann und Entlastungsdienste in der Wohnung der betroffenen Person angeboten werden.</w:t>
      </w:r>
    </w:p>
    <w:p w14:paraId="1C099FF7" w14:textId="77777777" w:rsidR="00116DB0" w:rsidRDefault="00116DB0" w:rsidP="002D4FDD">
      <w:pPr>
        <w:rPr>
          <w:rFonts w:cs="Arial"/>
          <w:sz w:val="24"/>
          <w:szCs w:val="24"/>
        </w:rPr>
      </w:pPr>
    </w:p>
    <w:p w14:paraId="384A89B8" w14:textId="77777777" w:rsidR="002D4FDD" w:rsidRPr="007B6E65" w:rsidRDefault="002D4FDD" w:rsidP="002D4FDD">
      <w:pPr>
        <w:rPr>
          <w:rFonts w:cs="Arial"/>
          <w:sz w:val="24"/>
          <w:szCs w:val="24"/>
        </w:rPr>
      </w:pPr>
    </w:p>
    <w:p w14:paraId="1E921A28" w14:textId="77777777" w:rsidR="002D4FDD" w:rsidRPr="007220CF" w:rsidRDefault="00624628" w:rsidP="002D4FDD">
      <w:pPr>
        <w:shd w:val="clear" w:color="auto" w:fill="D9F2D0"/>
        <w:rPr>
          <w:rFonts w:cs="Arial"/>
          <w:sz w:val="24"/>
          <w:szCs w:val="24"/>
        </w:rPr>
      </w:pPr>
      <w:r>
        <w:rPr>
          <w:b/>
          <w:sz w:val="24"/>
          <w:bdr w:val="nil"/>
        </w:rPr>
        <w:t xml:space="preserve">Empfehlungen für nationale und lokale Behörden: </w:t>
      </w:r>
      <w:r>
        <w:rPr>
          <w:sz w:val="24"/>
          <w:bdr w:val="nil"/>
        </w:rPr>
        <w:t>Familien und informellen Pflegekräften mehr finanzielle Unterstützung und bessere Beratung anbieten und dafür sorgen, dass alle Personen, die informelle Pflege anbieten, über die ihnen zur Verfügung stehende Hilfe informiert sind.</w:t>
      </w:r>
    </w:p>
    <w:p w14:paraId="660240DA" w14:textId="77777777" w:rsidR="002D4FDD" w:rsidRDefault="002D4FDD" w:rsidP="002D4FDD">
      <w:pPr>
        <w:rPr>
          <w:rFonts w:cs="Arial"/>
        </w:rPr>
      </w:pPr>
      <w:r>
        <w:t xml:space="preserve"> </w:t>
      </w:r>
    </w:p>
    <w:p w14:paraId="7F7EE09B" w14:textId="77777777" w:rsidR="002D4FDD" w:rsidRDefault="00624628" w:rsidP="002D4FDD">
      <w:pPr>
        <w:pStyle w:val="Titre3"/>
      </w:pPr>
      <w:bookmarkStart w:id="38" w:name="_Toc161062591"/>
      <w:r>
        <w:rPr>
          <w:bdr w:val="nil"/>
        </w:rPr>
        <w:t>Unterstützung durch Peers</w:t>
      </w:r>
      <w:bookmarkEnd w:id="38"/>
    </w:p>
    <w:p w14:paraId="417B8C5A" w14:textId="77777777" w:rsidR="002D4FDD" w:rsidRDefault="00624628" w:rsidP="002D4FDD">
      <w:pPr>
        <w:rPr>
          <w:rFonts w:cs="Arial"/>
          <w:sz w:val="24"/>
          <w:szCs w:val="24"/>
        </w:rPr>
      </w:pPr>
      <w:r>
        <w:rPr>
          <w:sz w:val="24"/>
          <w:bdr w:val="nil"/>
        </w:rPr>
        <w:t>Peer-Support, der in diesem Zusammenhang eine Person mit einer Behinderung bezeichnet, die selbstständig lebt und einer anderen Person mit einer Behinderung Rat oder Unterstützung anbietet, ist für die Förderung eines selbstständigen Lebens von entscheidender Bedeutung.</w:t>
      </w:r>
    </w:p>
    <w:p w14:paraId="3BC41DDB" w14:textId="77777777" w:rsidR="002D4FDD" w:rsidRDefault="00624628" w:rsidP="002D4FDD">
      <w:pPr>
        <w:rPr>
          <w:rFonts w:cs="Arial"/>
          <w:sz w:val="24"/>
          <w:szCs w:val="24"/>
        </w:rPr>
      </w:pPr>
      <w:r>
        <w:rPr>
          <w:sz w:val="24"/>
          <w:bdr w:val="nil"/>
        </w:rPr>
        <w:t>Die Unterstützung durch andere Betroffene kann besonders hilfreich sein, wenn es um die Beratung von Menschen geht, die aus Einrichtungen ausgezogen sind und sich an ein neues Leben in der Gemeinschaft gewöhnen. Es kann besonders hilfreich sein, Ratschläge zu erteilen, wie man direkte Zahlungen für Assistenzkosten erhält, wie man sein persönliches Budget verwaltet, wie man persönliche Assistenten auswählt und beschäftigt und wie man Zugang zu anderen Diensten und Formen der Unterstützung erhält.</w:t>
      </w:r>
    </w:p>
    <w:p w14:paraId="6DBA2722" w14:textId="77777777" w:rsidR="002D4FDD" w:rsidRDefault="00624628" w:rsidP="002D4FDD">
      <w:pPr>
        <w:shd w:val="clear" w:color="auto" w:fill="D9F2D0"/>
        <w:rPr>
          <w:rFonts w:cs="Arial"/>
          <w:sz w:val="24"/>
          <w:szCs w:val="24"/>
        </w:rPr>
      </w:pPr>
      <w:r>
        <w:rPr>
          <w:b/>
          <w:sz w:val="24"/>
          <w:bdr w:val="nil"/>
        </w:rPr>
        <w:t xml:space="preserve">Empfehlungen für nationale und lokale Behörden:  Den </w:t>
      </w:r>
      <w:r>
        <w:rPr>
          <w:sz w:val="24"/>
          <w:bdr w:val="nil"/>
        </w:rPr>
        <w:t>Austausch von Peers zwischen Menschen mit Behinderungen, die in der Gemeinschaft leben, und Menschen, die in stationären Einrichtungen leben, fördern und finanzieren.</w:t>
      </w:r>
    </w:p>
    <w:p w14:paraId="197C359F" w14:textId="77777777" w:rsidR="002D4FDD" w:rsidRDefault="002D4FDD" w:rsidP="002D4FDD"/>
    <w:p w14:paraId="4D21C863" w14:textId="77777777" w:rsidR="002D4FDD" w:rsidRDefault="00624628" w:rsidP="002D4FDD">
      <w:pPr>
        <w:pStyle w:val="Titre3"/>
      </w:pPr>
      <w:bookmarkStart w:id="39" w:name="_Toc161062592"/>
      <w:r>
        <w:rPr>
          <w:bdr w:val="nil"/>
        </w:rPr>
        <w:t>Vermeidung von Einsamkeit</w:t>
      </w:r>
      <w:bookmarkEnd w:id="39"/>
      <w:r>
        <w:rPr>
          <w:bdr w:val="nil"/>
        </w:rPr>
        <w:t xml:space="preserve"> </w:t>
      </w:r>
    </w:p>
    <w:p w14:paraId="24115D93" w14:textId="77777777" w:rsidR="002D4FDD" w:rsidRPr="001C3FD2" w:rsidRDefault="00624628" w:rsidP="002D4FDD">
      <w:pPr>
        <w:rPr>
          <w:rFonts w:cs="Arial"/>
          <w:sz w:val="24"/>
          <w:szCs w:val="24"/>
        </w:rPr>
      </w:pPr>
      <w:r>
        <w:rPr>
          <w:sz w:val="24"/>
          <w:bdr w:val="nil"/>
        </w:rPr>
        <w:t>Neuere Forschungsergebnisse aus dem Vereinigten Königreich haben gezeigt, wie sehr Menschen mit Behinderungen unter Einsamkeit leiden. Laut dieser Studie leiden 61 % der Menschen mit Behinderungen an chronischer Einsamkeit. Bei Menschen mit Behinderungen liegt diese Zahl bei 70 %</w:t>
      </w:r>
      <w:r w:rsidR="002D4FDD" w:rsidRPr="001C3FD2">
        <w:rPr>
          <w:rStyle w:val="Appelnotedebasdep"/>
          <w:sz w:val="24"/>
          <w:szCs w:val="24"/>
        </w:rPr>
        <w:footnoteReference w:id="15"/>
      </w:r>
      <w:r>
        <w:rPr>
          <w:sz w:val="24"/>
          <w:bdr w:val="nil"/>
        </w:rPr>
        <w:t>. Zwei Drittel der im Rahmen der Studie Befragten gaben an, dass soziale Isolation ihre psychische Gesundheit beeinträchtigt. Auch andere Studien haben gezeigt, dass Menschen mit Behinderungen unverhältnismäßig stark von Einsamkeit betroffen sind</w:t>
      </w:r>
      <w:r w:rsidR="002D4FDD" w:rsidRPr="001C3FD2">
        <w:rPr>
          <w:rStyle w:val="Appelnotedebasdep"/>
          <w:sz w:val="24"/>
          <w:szCs w:val="24"/>
        </w:rPr>
        <w:footnoteReference w:id="16"/>
      </w:r>
      <w:r>
        <w:rPr>
          <w:sz w:val="24"/>
          <w:bdr w:val="nil"/>
        </w:rPr>
        <w:t>.</w:t>
      </w:r>
    </w:p>
    <w:p w14:paraId="493FA18D" w14:textId="77777777" w:rsidR="00116DB0" w:rsidRDefault="00624628" w:rsidP="002D4FDD">
      <w:pPr>
        <w:rPr>
          <w:rFonts w:eastAsia="Arial" w:cs="Arial"/>
          <w:sz w:val="24"/>
          <w:szCs w:val="24"/>
          <w:bdr w:val="nil"/>
        </w:rPr>
      </w:pPr>
      <w:r>
        <w:rPr>
          <w:sz w:val="24"/>
          <w:bdr w:val="nil"/>
        </w:rPr>
        <w:lastRenderedPageBreak/>
        <w:t xml:space="preserve">Das Leben in einer isolierten Umgebung ist nicht der einzige Faktor, der die Einsamkeit beeinflusst. Ebenso nachteilig ist es, wenn eine Person nicht kontrollieren kann, ob und wann sie Kontakte hat und ob und wann sie Gäste an ihrem Wohnort empfangen kann. Einsamkeit kann auch durch den Verlust von Familienbindungen  </w:t>
      </w:r>
    </w:p>
    <w:p w14:paraId="29256D33" w14:textId="77777777" w:rsidR="00116DB0" w:rsidRDefault="00116DB0" w:rsidP="002D4FDD">
      <w:pPr>
        <w:rPr>
          <w:rFonts w:eastAsia="Arial" w:cs="Arial"/>
          <w:sz w:val="24"/>
          <w:szCs w:val="24"/>
          <w:bdr w:val="nil"/>
        </w:rPr>
      </w:pPr>
    </w:p>
    <w:p w14:paraId="1BDB023D" w14:textId="77777777" w:rsidR="002D4FDD" w:rsidRPr="001C3FD2" w:rsidRDefault="00624628" w:rsidP="002D4FDD">
      <w:pPr>
        <w:rPr>
          <w:rFonts w:cs="Arial"/>
          <w:sz w:val="24"/>
          <w:szCs w:val="24"/>
        </w:rPr>
      </w:pPr>
      <w:r>
        <w:rPr>
          <w:sz w:val="24"/>
          <w:bdr w:val="nil"/>
        </w:rPr>
        <w:t xml:space="preserve">oder durch die Kontrolle über das Recht einer Person, sinnvolle und liebevolle Beziehungen aufzubauen, verstärkt werden. </w:t>
      </w:r>
    </w:p>
    <w:p w14:paraId="3BF1A74A" w14:textId="77777777" w:rsidR="002D4FDD" w:rsidRPr="001C3FD2" w:rsidRDefault="00624628" w:rsidP="002D4FDD">
      <w:pPr>
        <w:shd w:val="clear" w:color="auto" w:fill="D9F2D0"/>
        <w:rPr>
          <w:rFonts w:cs="Arial"/>
          <w:sz w:val="24"/>
          <w:szCs w:val="24"/>
        </w:rPr>
      </w:pPr>
      <w:r>
        <w:rPr>
          <w:b/>
          <w:sz w:val="24"/>
          <w:bdr w:val="nil"/>
        </w:rPr>
        <w:t xml:space="preserve">Empfehlungen für nationale und lokale Behörden: </w:t>
      </w:r>
      <w:r>
        <w:rPr>
          <w:sz w:val="24"/>
          <w:bdr w:val="nil"/>
        </w:rPr>
        <w:t>Dienstleistungen, die ein selbstbestimmtes Leben erleichtern, sollten in erster Linie dazu dienen, die Bindung einer Person an ihre Gemeinschaft aufrechtzuerhalten und zu stärken. Besondere Anstrengungen sollten unternommen werden, um die Verbindung zur Familie der Person aufrechtzuerhalten, wenn sie dies wünscht. Menschen mit Behinderungen müssen die Freiheit haben, sich mit wem sie wollen, wann sie wollen und auf die gleiche Weise wie jede andere Person zu treffen. Der Zugang einer Person zu gewöhnlichen Gemeinschaftseinrichtungen sollte ebenfalls möglich sein, damit sie leicht soziale Kontakte knüpfen kann und sich nicht auf Hilfsdienste für Menschen mit Behinderungen verlassen muss, um Freundschaften zu schließen.</w:t>
      </w:r>
    </w:p>
    <w:p w14:paraId="40ABA683" w14:textId="77777777" w:rsidR="002D4FDD" w:rsidRDefault="002D4FDD" w:rsidP="002D4FDD">
      <w:pPr>
        <w:pStyle w:val="Titre3"/>
      </w:pPr>
    </w:p>
    <w:p w14:paraId="141FC742" w14:textId="77777777" w:rsidR="002D4FDD" w:rsidRPr="00FE36CA" w:rsidRDefault="00624628" w:rsidP="002D4FDD">
      <w:pPr>
        <w:pStyle w:val="Titre3"/>
      </w:pPr>
      <w:bookmarkStart w:id="40" w:name="_Toc161062593"/>
      <w:r>
        <w:rPr>
          <w:bdr w:val="nil"/>
        </w:rPr>
        <w:t>Zugang zu unterstützenden Technologien und anderen technischen Hilfen</w:t>
      </w:r>
      <w:bookmarkEnd w:id="40"/>
    </w:p>
    <w:p w14:paraId="222BF663" w14:textId="77777777" w:rsidR="002D4FDD" w:rsidRPr="006001E0" w:rsidRDefault="00624628" w:rsidP="002D4FDD">
      <w:pPr>
        <w:rPr>
          <w:rFonts w:cs="Arial"/>
          <w:sz w:val="24"/>
          <w:szCs w:val="24"/>
        </w:rPr>
      </w:pPr>
      <w:r>
        <w:rPr>
          <w:sz w:val="24"/>
          <w:bdr w:val="nil"/>
        </w:rPr>
        <w:t>Eine der größten Innovationen im Bereich des selbstbestimmten Lebens und der Einbeziehung in die Gemeinschaft ist die Rolle, die neue Technologien spielen können. Auch dieser Bereich entwickelt sich ständig weiter.</w:t>
      </w:r>
    </w:p>
    <w:p w14:paraId="0B97EB6A" w14:textId="77777777" w:rsidR="002D4FDD" w:rsidRDefault="00624628" w:rsidP="002D4FDD">
      <w:pPr>
        <w:rPr>
          <w:rFonts w:cs="Arial"/>
          <w:sz w:val="24"/>
          <w:szCs w:val="24"/>
        </w:rPr>
      </w:pPr>
      <w:r>
        <w:rPr>
          <w:sz w:val="24"/>
          <w:bdr w:val="nil"/>
        </w:rPr>
        <w:t>Zunächst einmal muss klargestellt werden, dass die Technologie niemals menschliche Unterstützung und persönliche Betreuung ersetzen kann. Die Technologie kann jedoch das Maß an Unterstützung, das eine Person benötigt, verringern und ein selbstbestimmtes Leben in der Gemeinschaft fördern.</w:t>
      </w:r>
    </w:p>
    <w:p w14:paraId="5E2F04DE" w14:textId="77777777" w:rsidR="002D4FDD" w:rsidRDefault="00624628" w:rsidP="002D4FDD">
      <w:pPr>
        <w:rPr>
          <w:rFonts w:cs="Arial"/>
          <w:sz w:val="24"/>
          <w:szCs w:val="24"/>
        </w:rPr>
      </w:pPr>
      <w:r>
        <w:rPr>
          <w:sz w:val="24"/>
          <w:bdr w:val="nil"/>
        </w:rPr>
        <w:t>Die gängigen Technologien von heute werden für Menschen mit Behinderungen immer zugänglicher und praktischer, darunter virtuelle Assistenten, Sprachsteuerung und andere Funktionen. Darüber hinaus ermöglicht der technologische Fortschritt Geräte, die speziell für Menschen mit Behinderungen entwickelt wurden. Dabei handelt es sich um „unterstützende Technologien“, die die Körperpflege, die Mobilität, die Kommunikation oder den Zugang zu anderen gängigen Technologien erleichtern können.</w:t>
      </w:r>
    </w:p>
    <w:p w14:paraId="4CDA9DCD" w14:textId="77777777" w:rsidR="002D4FDD" w:rsidRDefault="00624628" w:rsidP="002D4FDD">
      <w:pPr>
        <w:rPr>
          <w:rFonts w:cs="Arial"/>
          <w:sz w:val="24"/>
          <w:szCs w:val="24"/>
        </w:rPr>
      </w:pPr>
      <w:r>
        <w:rPr>
          <w:sz w:val="24"/>
          <w:bdr w:val="nil"/>
        </w:rPr>
        <w:t>Daher ist es wichtig, dass Menschen mit Behinderungen und Behinderteneinrichtungen in der Gemeinschaft leichten Zugang zu diesen Technologien haben und die technische und finanzielle Unterstützung erhalten, die sie für die Auswahl, Nutzung und Wartung benötigen.</w:t>
      </w:r>
    </w:p>
    <w:p w14:paraId="79E4A38D" w14:textId="77777777" w:rsidR="002D4FDD" w:rsidRPr="00FA7A1D" w:rsidRDefault="00624628" w:rsidP="002D4FDD">
      <w:pPr>
        <w:shd w:val="clear" w:color="auto" w:fill="D9F2D0"/>
        <w:rPr>
          <w:rFonts w:cs="Arial"/>
          <w:sz w:val="24"/>
          <w:szCs w:val="24"/>
        </w:rPr>
      </w:pPr>
      <w:r>
        <w:rPr>
          <w:b/>
          <w:sz w:val="24"/>
          <w:bdr w:val="nil"/>
        </w:rPr>
        <w:lastRenderedPageBreak/>
        <w:t xml:space="preserve">Empfehlungen für nationale und lokale Behörden: </w:t>
      </w:r>
      <w:r>
        <w:rPr>
          <w:sz w:val="24"/>
          <w:bdr w:val="nil"/>
        </w:rPr>
        <w:t xml:space="preserve">Die Verfügbarkeit und Erschwinglichkeit von unterstützenden Technologien und anderen technischen Hilfen sicherstellen, die ein selbstbestimmtes Leben von Menschen mit Behinderungen in der Gemeinschaft fördern können. Menschen mit Behinderungen dabei helfen, die Kosten für den Erwerb dieser Technologien oder für Schulungen zu ihrer Nutzung zu tragen. </w:t>
      </w:r>
    </w:p>
    <w:p w14:paraId="53634F82" w14:textId="77777777" w:rsidR="002D4FDD" w:rsidRDefault="002D4FDD" w:rsidP="002D4FDD">
      <w:pPr>
        <w:rPr>
          <w:rFonts w:cs="Arial"/>
          <w:sz w:val="24"/>
          <w:szCs w:val="24"/>
        </w:rPr>
      </w:pPr>
    </w:p>
    <w:p w14:paraId="23EE0EA9" w14:textId="77777777" w:rsidR="002D4FDD" w:rsidRPr="00FE36CA" w:rsidRDefault="00624628" w:rsidP="002D4FDD">
      <w:pPr>
        <w:pStyle w:val="Titre3"/>
      </w:pPr>
      <w:bookmarkStart w:id="41" w:name="_Toc161062594"/>
      <w:r>
        <w:rPr>
          <w:bdr w:val="nil"/>
        </w:rPr>
        <w:t>Präventivmaßnahmen</w:t>
      </w:r>
      <w:bookmarkEnd w:id="41"/>
      <w:r>
        <w:rPr>
          <w:bdr w:val="nil"/>
        </w:rPr>
        <w:t xml:space="preserve"> </w:t>
      </w:r>
    </w:p>
    <w:p w14:paraId="7EB53A77" w14:textId="77777777" w:rsidR="002D4FDD" w:rsidRDefault="00624628" w:rsidP="002D4FDD">
      <w:pPr>
        <w:rPr>
          <w:rFonts w:cs="Arial"/>
          <w:sz w:val="24"/>
          <w:szCs w:val="24"/>
        </w:rPr>
      </w:pPr>
      <w:r>
        <w:rPr>
          <w:sz w:val="24"/>
          <w:bdr w:val="nil"/>
        </w:rPr>
        <w:t>Einer der Hauptgründe, warum Menschen mit Behinderungen in Einrichtungen untergebracht werden, ist, dass sie keine Unterstützung erhalten, die es ihnen ermöglicht, weiterhin zu Hause zu leben. Weitere Faktoren sind u. a.:</w:t>
      </w:r>
    </w:p>
    <w:p w14:paraId="0990D59A" w14:textId="77777777" w:rsidR="002D4FDD" w:rsidRDefault="00624628" w:rsidP="002D4FDD">
      <w:pPr>
        <w:pStyle w:val="Paragraphedeliste"/>
        <w:numPr>
          <w:ilvl w:val="0"/>
          <w:numId w:val="24"/>
        </w:numPr>
        <w:rPr>
          <w:rFonts w:ascii="Arial" w:hAnsi="Arial" w:cs="Arial"/>
          <w:sz w:val="24"/>
          <w:szCs w:val="24"/>
        </w:rPr>
      </w:pPr>
      <w:r>
        <w:rPr>
          <w:rFonts w:ascii="Arial" w:hAnsi="Arial"/>
          <w:sz w:val="24"/>
          <w:bdr w:val="nil"/>
        </w:rPr>
        <w:t>Armut in Familien</w:t>
      </w:r>
    </w:p>
    <w:p w14:paraId="145F3DDB" w14:textId="77777777" w:rsidR="002D4FDD" w:rsidRDefault="00624628" w:rsidP="002D4FDD">
      <w:pPr>
        <w:pStyle w:val="Paragraphedeliste"/>
        <w:numPr>
          <w:ilvl w:val="0"/>
          <w:numId w:val="24"/>
        </w:numPr>
        <w:rPr>
          <w:rFonts w:ascii="Arial" w:hAnsi="Arial" w:cs="Arial"/>
          <w:sz w:val="24"/>
          <w:szCs w:val="24"/>
        </w:rPr>
      </w:pPr>
      <w:r>
        <w:rPr>
          <w:rFonts w:ascii="Arial" w:hAnsi="Arial"/>
          <w:sz w:val="24"/>
          <w:bdr w:val="nil"/>
        </w:rPr>
        <w:t>Der Ausschluss von Kindern aus der Bildung</w:t>
      </w:r>
    </w:p>
    <w:p w14:paraId="24D4A3EC" w14:textId="77777777" w:rsidR="002D4FDD" w:rsidRDefault="00624628" w:rsidP="002D4FDD">
      <w:pPr>
        <w:pStyle w:val="Paragraphedeliste"/>
        <w:numPr>
          <w:ilvl w:val="0"/>
          <w:numId w:val="24"/>
        </w:numPr>
        <w:rPr>
          <w:rFonts w:ascii="Arial" w:hAnsi="Arial" w:cs="Arial"/>
          <w:sz w:val="24"/>
          <w:szCs w:val="24"/>
        </w:rPr>
      </w:pPr>
      <w:r>
        <w:rPr>
          <w:rFonts w:ascii="Arial" w:hAnsi="Arial"/>
          <w:sz w:val="24"/>
          <w:bdr w:val="nil"/>
        </w:rPr>
        <w:t>Allgemeinmediziner und andere Angehörige des Gesundheitswesens sind nicht ausreichend in Behindertenfragen geschult, was zu einer Abhängigkeit von „Sonderbehandlungszentren“ oder Krankenhäusern führt.</w:t>
      </w:r>
    </w:p>
    <w:p w14:paraId="0CA15267" w14:textId="77777777" w:rsidR="002D4FDD" w:rsidRPr="0023613D" w:rsidRDefault="00624628" w:rsidP="002D4FDD">
      <w:pPr>
        <w:pStyle w:val="Paragraphedeliste"/>
        <w:numPr>
          <w:ilvl w:val="0"/>
          <w:numId w:val="24"/>
        </w:numPr>
        <w:rPr>
          <w:rFonts w:ascii="Arial" w:hAnsi="Arial" w:cs="Arial"/>
          <w:sz w:val="24"/>
          <w:szCs w:val="24"/>
        </w:rPr>
      </w:pPr>
      <w:r>
        <w:rPr>
          <w:rFonts w:ascii="Arial" w:hAnsi="Arial"/>
          <w:sz w:val="24"/>
          <w:bdr w:val="nil"/>
        </w:rPr>
        <w:t>Fachkräfte, die Familien raten, ihre Kinder in eine Einrichtung zu geben</w:t>
      </w:r>
    </w:p>
    <w:p w14:paraId="23E2FFB4" w14:textId="77777777" w:rsidR="002D4FDD" w:rsidRDefault="00624628" w:rsidP="002D4FDD">
      <w:pPr>
        <w:rPr>
          <w:rFonts w:cs="Arial"/>
          <w:sz w:val="24"/>
          <w:szCs w:val="24"/>
        </w:rPr>
      </w:pPr>
      <w:r>
        <w:rPr>
          <w:sz w:val="24"/>
          <w:bdr w:val="nil"/>
        </w:rPr>
        <w:t>Vor allem Eltern könnten der Meinung sein, dass sie nicht wissen, wie sie den Bedürfnissen ihres Kindes gerecht werden können, und nehmen daher institutionelle Pflege in Anspruch. Wie bereits erwähnt, müssen Familien und informelle Helfer einfachen und schnellen Zugang zu Unterstützung und Beratung haben. Die kritischen Momente, in denen diese Unterstützung geleistet werden muss, um die Unterbringung in einer Einrichtung zu verhindern, sind folgende:</w:t>
      </w:r>
    </w:p>
    <w:p w14:paraId="56785E67" w14:textId="77777777" w:rsidR="002D4FDD" w:rsidRDefault="00624628" w:rsidP="002D4FDD">
      <w:pPr>
        <w:pStyle w:val="Paragraphedeliste"/>
        <w:numPr>
          <w:ilvl w:val="0"/>
          <w:numId w:val="25"/>
        </w:numPr>
        <w:rPr>
          <w:rFonts w:ascii="Arial" w:hAnsi="Arial" w:cs="Arial"/>
          <w:sz w:val="24"/>
          <w:szCs w:val="24"/>
        </w:rPr>
      </w:pPr>
      <w:r>
        <w:rPr>
          <w:rFonts w:ascii="Arial" w:hAnsi="Arial"/>
          <w:sz w:val="24"/>
          <w:bdr w:val="nil"/>
        </w:rPr>
        <w:t>Die ersten Jahre, in denen eine Behinderung erkannt wird</w:t>
      </w:r>
    </w:p>
    <w:p w14:paraId="62CA703B" w14:textId="77777777" w:rsidR="002D4FDD" w:rsidRDefault="00624628" w:rsidP="002D4FDD">
      <w:pPr>
        <w:pStyle w:val="Paragraphedeliste"/>
        <w:numPr>
          <w:ilvl w:val="0"/>
          <w:numId w:val="25"/>
        </w:numPr>
        <w:rPr>
          <w:rFonts w:ascii="Arial" w:hAnsi="Arial" w:cs="Arial"/>
          <w:sz w:val="24"/>
          <w:szCs w:val="24"/>
        </w:rPr>
      </w:pPr>
      <w:r>
        <w:rPr>
          <w:rFonts w:ascii="Arial" w:hAnsi="Arial"/>
          <w:sz w:val="24"/>
          <w:bdr w:val="nil"/>
        </w:rPr>
        <w:t xml:space="preserve">Schulbeginn </w:t>
      </w:r>
    </w:p>
    <w:p w14:paraId="0B4066F9" w14:textId="77777777" w:rsidR="002D4FDD" w:rsidRDefault="00624628" w:rsidP="002D4FDD">
      <w:pPr>
        <w:pStyle w:val="Paragraphedeliste"/>
        <w:numPr>
          <w:ilvl w:val="0"/>
          <w:numId w:val="25"/>
        </w:numPr>
        <w:rPr>
          <w:rFonts w:ascii="Arial" w:hAnsi="Arial" w:cs="Arial"/>
          <w:sz w:val="24"/>
          <w:szCs w:val="24"/>
        </w:rPr>
      </w:pPr>
      <w:r>
        <w:rPr>
          <w:rFonts w:ascii="Arial" w:hAnsi="Arial"/>
          <w:sz w:val="24"/>
          <w:bdr w:val="nil"/>
        </w:rPr>
        <w:t>Schulabgang</w:t>
      </w:r>
    </w:p>
    <w:p w14:paraId="40BB0246" w14:textId="77777777" w:rsidR="002D4FDD" w:rsidRDefault="00624628" w:rsidP="002D4FDD">
      <w:pPr>
        <w:pStyle w:val="Paragraphedeliste"/>
        <w:numPr>
          <w:ilvl w:val="0"/>
          <w:numId w:val="25"/>
        </w:numPr>
        <w:rPr>
          <w:rFonts w:ascii="Arial" w:hAnsi="Arial" w:cs="Arial"/>
          <w:sz w:val="24"/>
          <w:szCs w:val="24"/>
        </w:rPr>
      </w:pPr>
      <w:r>
        <w:rPr>
          <w:rFonts w:ascii="Arial" w:hAnsi="Arial"/>
          <w:sz w:val="24"/>
          <w:bdr w:val="nil"/>
        </w:rPr>
        <w:t>Verlegung des Familienwohnsitzes</w:t>
      </w:r>
    </w:p>
    <w:p w14:paraId="61530A86" w14:textId="77777777" w:rsidR="002D4FDD" w:rsidRDefault="00624628" w:rsidP="002D4FDD">
      <w:pPr>
        <w:pStyle w:val="Paragraphedeliste"/>
        <w:numPr>
          <w:ilvl w:val="0"/>
          <w:numId w:val="25"/>
        </w:numPr>
        <w:rPr>
          <w:rFonts w:ascii="Arial" w:hAnsi="Arial" w:cs="Arial"/>
          <w:sz w:val="24"/>
          <w:szCs w:val="24"/>
        </w:rPr>
      </w:pPr>
      <w:r>
        <w:rPr>
          <w:rFonts w:ascii="Arial" w:hAnsi="Arial"/>
          <w:sz w:val="24"/>
          <w:bdr w:val="nil"/>
        </w:rPr>
        <w:t>Fall von Krankheit oder Trauer</w:t>
      </w:r>
    </w:p>
    <w:p w14:paraId="49C7A161" w14:textId="77777777" w:rsidR="002D4FDD" w:rsidRPr="0023613D" w:rsidRDefault="00624628" w:rsidP="002D4FDD">
      <w:pPr>
        <w:pStyle w:val="Paragraphedeliste"/>
        <w:numPr>
          <w:ilvl w:val="0"/>
          <w:numId w:val="25"/>
        </w:numPr>
        <w:rPr>
          <w:rFonts w:ascii="Arial" w:hAnsi="Arial" w:cs="Arial"/>
          <w:sz w:val="24"/>
          <w:szCs w:val="24"/>
        </w:rPr>
      </w:pPr>
      <w:r>
        <w:rPr>
          <w:rFonts w:ascii="Arial" w:hAnsi="Arial"/>
          <w:sz w:val="24"/>
          <w:bdr w:val="nil"/>
        </w:rPr>
        <w:t>Fälle von Beziehungskrisen oder psychischer Erkrankung</w:t>
      </w:r>
    </w:p>
    <w:p w14:paraId="0A86D2E5" w14:textId="77777777" w:rsidR="002D4FDD" w:rsidRDefault="00624628" w:rsidP="002D4FDD">
      <w:pPr>
        <w:rPr>
          <w:rFonts w:cs="Arial"/>
          <w:sz w:val="24"/>
          <w:szCs w:val="24"/>
        </w:rPr>
      </w:pPr>
      <w:r>
        <w:rPr>
          <w:sz w:val="24"/>
          <w:bdr w:val="nil"/>
        </w:rPr>
        <w:t xml:space="preserve">Menschen können auch später in ihrem Leben in eine Einrichtung eingewiesen werden, wenn ihre Familie altert oder stirbt. In vielen Fällen machen sich die Familien Sorgen darüber, wer die Person mit einer Behinderung nach ihrem Tod unterstützen wird, wenn die geleistete Hilfe nicht ausreicht, um ihr ein Leben in der eigenen Wohnung zu ermöglichen. Die Art und Weise, wie Menschen mit Behinderungen Leistungen erhalten, kann sich auch ändern, wenn sie älter werden und das Rentenalter erreichen. Dies kann manchmal zu Problemen hinsichtlich der Höhe der Leistung führen, auf die eine Person Anspruch hat, und die Wahrscheinlichkeit erhöhen, dass sie in eine Einrichtung eingewiesen wird. </w:t>
      </w:r>
    </w:p>
    <w:p w14:paraId="715547B2" w14:textId="77777777" w:rsidR="002D4FDD" w:rsidRPr="007B6E65" w:rsidRDefault="00624628" w:rsidP="002D4FDD">
      <w:pPr>
        <w:rPr>
          <w:rFonts w:cs="Arial"/>
          <w:sz w:val="24"/>
          <w:szCs w:val="24"/>
        </w:rPr>
      </w:pPr>
      <w:r>
        <w:rPr>
          <w:sz w:val="24"/>
          <w:bdr w:val="nil"/>
        </w:rPr>
        <w:t xml:space="preserve">Die Komplexität der Systeme für den Zugang zu Behindertengeld, Wohnraum, persönlicher Assistenz und anderen Formen der Unterstützung macht es für die Familie und die Person </w:t>
      </w:r>
      <w:r>
        <w:rPr>
          <w:sz w:val="24"/>
          <w:bdr w:val="nil"/>
        </w:rPr>
        <w:lastRenderedPageBreak/>
        <w:t>mit Behinderung schwierig, alle benötigten Elemente zum richtigen Zeitpunkt zu erhalten. In manchen Fällen kann das Risiko einer Unterbringung in einer Einrichtung durch den Abbruch der Beziehungen zur Familie und das Fehlen eines Unterstützungsnetzwerks in der Gemeinschaft noch erhöht werden.</w:t>
      </w:r>
    </w:p>
    <w:p w14:paraId="6FAC73D1" w14:textId="77777777" w:rsidR="00116DB0" w:rsidRDefault="00624628" w:rsidP="002D4FDD">
      <w:pPr>
        <w:rPr>
          <w:rFonts w:eastAsia="Arial" w:cs="Arial"/>
          <w:sz w:val="24"/>
          <w:szCs w:val="24"/>
          <w:bdr w:val="nil"/>
        </w:rPr>
      </w:pPr>
      <w:r>
        <w:rPr>
          <w:sz w:val="24"/>
          <w:bdr w:val="nil"/>
        </w:rPr>
        <w:t xml:space="preserve">In anderen Fällen kann es sein, dass die Person weit weg von ihrer Familie gelebt hat, aber keine Hilfe bei der Suche und Erhaltung eines Arbeitsplatzes oder bei der Verwaltung der Haushaltsausgaben usw. hatte. In manchen Fällen </w:t>
      </w:r>
    </w:p>
    <w:p w14:paraId="45E41861" w14:textId="77777777" w:rsidR="00116DB0" w:rsidRDefault="00116DB0" w:rsidP="002D4FDD">
      <w:pPr>
        <w:rPr>
          <w:rFonts w:eastAsia="Arial" w:cs="Arial"/>
          <w:sz w:val="24"/>
          <w:szCs w:val="24"/>
          <w:bdr w:val="nil"/>
        </w:rPr>
      </w:pPr>
    </w:p>
    <w:p w14:paraId="5A881A07" w14:textId="77777777" w:rsidR="002D4FDD" w:rsidRDefault="00624628" w:rsidP="002D4FDD">
      <w:pPr>
        <w:rPr>
          <w:rFonts w:cs="Arial"/>
          <w:sz w:val="24"/>
          <w:szCs w:val="24"/>
        </w:rPr>
      </w:pPr>
      <w:r>
        <w:rPr>
          <w:sz w:val="24"/>
          <w:bdr w:val="nil"/>
        </w:rPr>
        <w:t xml:space="preserve">resultiert die Unterbringung in einer Einrichtung aus der Angst, auf der Straße zu leben, wenn es keine anderen Unterstützungsmechanismen gibt. Dies muss nicht so sein. </w:t>
      </w:r>
    </w:p>
    <w:p w14:paraId="325B61C0" w14:textId="77777777" w:rsidR="002D4FDD" w:rsidRPr="007B6E65" w:rsidRDefault="00624628" w:rsidP="002D4FDD">
      <w:pPr>
        <w:shd w:val="clear" w:color="auto" w:fill="D9F2D0"/>
        <w:rPr>
          <w:rFonts w:cs="Arial"/>
          <w:sz w:val="24"/>
          <w:szCs w:val="24"/>
        </w:rPr>
      </w:pPr>
      <w:r>
        <w:rPr>
          <w:b/>
          <w:sz w:val="24"/>
          <w:bdr w:val="nil"/>
        </w:rPr>
        <w:t xml:space="preserve">Empfehlungen für nationale und lokale Behörden: </w:t>
      </w:r>
      <w:r>
        <w:rPr>
          <w:sz w:val="24"/>
          <w:bdr w:val="nil"/>
        </w:rPr>
        <w:t>Investieren in die Verhinderung jeglicher Form der Unterbringung in einer Einrichtung durch Maßnahmen wie:</w:t>
      </w:r>
    </w:p>
    <w:p w14:paraId="76C1C91B" w14:textId="77777777" w:rsidR="002D4FDD" w:rsidRPr="007B6E65" w:rsidRDefault="00624628" w:rsidP="002D4FDD">
      <w:pPr>
        <w:pStyle w:val="Paragraphedeliste"/>
        <w:numPr>
          <w:ilvl w:val="0"/>
          <w:numId w:val="17"/>
        </w:numPr>
        <w:shd w:val="clear" w:color="auto" w:fill="D9F2D0"/>
        <w:rPr>
          <w:rFonts w:ascii="Arial" w:hAnsi="Arial" w:cs="Arial"/>
          <w:sz w:val="24"/>
          <w:szCs w:val="24"/>
        </w:rPr>
      </w:pPr>
      <w:r>
        <w:rPr>
          <w:rFonts w:ascii="Arial" w:hAnsi="Arial"/>
          <w:sz w:val="24"/>
          <w:bdr w:val="nil"/>
        </w:rPr>
        <w:t>Finanzielle Unterstützung für informell Pflegende</w:t>
      </w:r>
    </w:p>
    <w:p w14:paraId="034D0028" w14:textId="77777777" w:rsidR="002D4FDD" w:rsidRDefault="00624628" w:rsidP="002D4FDD">
      <w:pPr>
        <w:pStyle w:val="Paragraphedeliste"/>
        <w:numPr>
          <w:ilvl w:val="0"/>
          <w:numId w:val="17"/>
        </w:numPr>
        <w:shd w:val="clear" w:color="auto" w:fill="D9F2D0"/>
        <w:rPr>
          <w:rFonts w:ascii="Arial" w:hAnsi="Arial" w:cs="Arial"/>
          <w:sz w:val="24"/>
          <w:szCs w:val="24"/>
        </w:rPr>
      </w:pPr>
      <w:r>
        <w:rPr>
          <w:rFonts w:ascii="Arial" w:hAnsi="Arial"/>
          <w:sz w:val="24"/>
          <w:bdr w:val="nil"/>
        </w:rPr>
        <w:t>Beratung von Familien über den Umgang mit bestimmten medizinischen Bedingungen</w:t>
      </w:r>
    </w:p>
    <w:p w14:paraId="3C0BAF03" w14:textId="77777777" w:rsidR="002D4FDD" w:rsidRPr="007B6E65" w:rsidRDefault="00624628" w:rsidP="002D4FDD">
      <w:pPr>
        <w:pStyle w:val="Paragraphedeliste"/>
        <w:numPr>
          <w:ilvl w:val="0"/>
          <w:numId w:val="17"/>
        </w:numPr>
        <w:shd w:val="clear" w:color="auto" w:fill="D9F2D0"/>
        <w:rPr>
          <w:rFonts w:ascii="Arial" w:hAnsi="Arial" w:cs="Arial"/>
          <w:sz w:val="24"/>
          <w:szCs w:val="24"/>
        </w:rPr>
      </w:pPr>
      <w:r>
        <w:rPr>
          <w:rFonts w:ascii="Arial" w:hAnsi="Arial"/>
          <w:sz w:val="24"/>
          <w:bdr w:val="nil"/>
        </w:rPr>
        <w:t>Beratung zum Verständnis von Hilfssystemen und zur Planung der Zukunft</w:t>
      </w:r>
    </w:p>
    <w:p w14:paraId="2745CD93" w14:textId="77777777" w:rsidR="002D4FDD" w:rsidRPr="007B6E65" w:rsidRDefault="00624628" w:rsidP="002D4FDD">
      <w:pPr>
        <w:pStyle w:val="Paragraphedeliste"/>
        <w:numPr>
          <w:ilvl w:val="0"/>
          <w:numId w:val="17"/>
        </w:numPr>
        <w:shd w:val="clear" w:color="auto" w:fill="D9F2D0"/>
        <w:rPr>
          <w:rFonts w:ascii="Arial" w:hAnsi="Arial" w:cs="Arial"/>
          <w:sz w:val="24"/>
          <w:szCs w:val="24"/>
        </w:rPr>
      </w:pPr>
      <w:r>
        <w:rPr>
          <w:rFonts w:ascii="Arial" w:hAnsi="Arial"/>
          <w:sz w:val="24"/>
          <w:bdr w:val="nil"/>
        </w:rPr>
        <w:t>Hilfe zu Hause für Menschen mit Behinderungen und ihre Familien</w:t>
      </w:r>
    </w:p>
    <w:p w14:paraId="3BEC55D2" w14:textId="77777777" w:rsidR="002D4FDD" w:rsidRPr="007B6E65" w:rsidRDefault="00624628" w:rsidP="002D4FDD">
      <w:pPr>
        <w:pStyle w:val="Paragraphedeliste"/>
        <w:numPr>
          <w:ilvl w:val="0"/>
          <w:numId w:val="17"/>
        </w:numPr>
        <w:shd w:val="clear" w:color="auto" w:fill="D9F2D0"/>
        <w:rPr>
          <w:rFonts w:ascii="Arial" w:hAnsi="Arial" w:cs="Arial"/>
          <w:sz w:val="24"/>
          <w:szCs w:val="24"/>
        </w:rPr>
      </w:pPr>
      <w:r>
        <w:rPr>
          <w:rFonts w:ascii="Arial" w:hAnsi="Arial"/>
          <w:sz w:val="24"/>
          <w:bdr w:val="nil"/>
        </w:rPr>
        <w:t>Mechanismen zur Aufrechterhaltung persönlicher Bindungen an die Familie und die örtliche Gemeinschaft</w:t>
      </w:r>
    </w:p>
    <w:p w14:paraId="74A535D3" w14:textId="77777777" w:rsidR="002D4FDD" w:rsidRPr="007B6E65" w:rsidRDefault="00624628" w:rsidP="002D4FDD">
      <w:pPr>
        <w:pStyle w:val="Paragraphedeliste"/>
        <w:numPr>
          <w:ilvl w:val="0"/>
          <w:numId w:val="17"/>
        </w:numPr>
        <w:shd w:val="clear" w:color="auto" w:fill="D9F2D0"/>
        <w:rPr>
          <w:rFonts w:ascii="Arial" w:hAnsi="Arial" w:cs="Arial"/>
          <w:sz w:val="24"/>
          <w:szCs w:val="24"/>
        </w:rPr>
      </w:pPr>
      <w:r>
        <w:rPr>
          <w:rFonts w:ascii="Arial" w:hAnsi="Arial"/>
          <w:sz w:val="24"/>
          <w:bdr w:val="nil"/>
        </w:rPr>
        <w:t>Hilfe bei der Arbeitssuche und der Verwaltung der Finanzen</w:t>
      </w:r>
    </w:p>
    <w:p w14:paraId="010EC602" w14:textId="77777777" w:rsidR="002D4FDD" w:rsidRPr="007B6E65" w:rsidRDefault="00624628" w:rsidP="002D4FDD">
      <w:pPr>
        <w:pStyle w:val="Paragraphedeliste"/>
        <w:numPr>
          <w:ilvl w:val="0"/>
          <w:numId w:val="17"/>
        </w:numPr>
        <w:shd w:val="clear" w:color="auto" w:fill="D9F2D0"/>
        <w:rPr>
          <w:rFonts w:ascii="Arial" w:hAnsi="Arial" w:cs="Arial"/>
          <w:sz w:val="24"/>
          <w:szCs w:val="24"/>
        </w:rPr>
      </w:pPr>
      <w:r>
        <w:rPr>
          <w:rFonts w:ascii="Arial" w:hAnsi="Arial"/>
          <w:sz w:val="24"/>
          <w:bdr w:val="nil"/>
        </w:rPr>
        <w:t>Hilfe bei der Suche nach oder dem Erhalt einer Wohnung in der Gemeinschaft</w:t>
      </w:r>
    </w:p>
    <w:p w14:paraId="2ECEF300" w14:textId="77777777" w:rsidR="002D4FDD" w:rsidRDefault="002D4FDD" w:rsidP="002D4FDD">
      <w:pPr>
        <w:rPr>
          <w:rFonts w:cs="Arial"/>
          <w:color w:val="000000"/>
          <w:shd w:val="clear" w:color="auto" w:fill="FFFFFF"/>
        </w:rPr>
      </w:pPr>
    </w:p>
    <w:p w14:paraId="544D0A49" w14:textId="77777777" w:rsidR="002D4FDD" w:rsidRPr="009C753D" w:rsidRDefault="00624628" w:rsidP="002D4FDD">
      <w:pPr>
        <w:pStyle w:val="Titre3"/>
        <w:rPr>
          <w:rFonts w:cs="Arial"/>
          <w:b w:val="0"/>
          <w:bCs w:val="0"/>
        </w:rPr>
      </w:pPr>
      <w:bookmarkStart w:id="42" w:name="_Toc161062595"/>
      <w:r>
        <w:rPr>
          <w:bdr w:val="nil"/>
        </w:rPr>
        <w:t>Bildungssysteme, die junge Menschen besser auf die Unabhängigkeit vorbereiten</w:t>
      </w:r>
      <w:bookmarkEnd w:id="42"/>
    </w:p>
    <w:p w14:paraId="2A907C35" w14:textId="77777777" w:rsidR="002D4FDD" w:rsidRDefault="00624628" w:rsidP="002D4FDD">
      <w:pPr>
        <w:shd w:val="clear" w:color="auto" w:fill="FFFFFF"/>
        <w:rPr>
          <w:rFonts w:cs="Arial"/>
          <w:sz w:val="24"/>
          <w:szCs w:val="24"/>
        </w:rPr>
      </w:pPr>
      <w:r>
        <w:rPr>
          <w:sz w:val="24"/>
          <w:bdr w:val="nil"/>
        </w:rPr>
        <w:t xml:space="preserve">Die Bildung aller jungen Menschen sollte den Schwerpunkt nicht nur auf die Vorbereitung auf die Arbeitswelt legen, sondern auch darauf, wie man mit den Herausforderungen umgeht, die sich in einem selbstbestimmten Leben stellen. EU-Fördermittel können dazu beitragen, dass dies für Menschen mit und ohne Behinderungen Realität wird. </w:t>
      </w:r>
    </w:p>
    <w:p w14:paraId="03F9CBC8" w14:textId="77777777" w:rsidR="002D4FDD" w:rsidRPr="007B6E65" w:rsidRDefault="00624628" w:rsidP="002D4FDD">
      <w:pPr>
        <w:shd w:val="clear" w:color="auto" w:fill="FFFFFF"/>
        <w:rPr>
          <w:rFonts w:cs="Arial"/>
          <w:sz w:val="24"/>
          <w:szCs w:val="24"/>
        </w:rPr>
      </w:pPr>
      <w:r>
        <w:rPr>
          <w:sz w:val="24"/>
          <w:bdr w:val="nil"/>
        </w:rPr>
        <w:t>Dazu gehören unter anderem (aber nicht ausschließlich) Schulungen in den folgenden Bereichen:</w:t>
      </w:r>
    </w:p>
    <w:p w14:paraId="210B78EC" w14:textId="77777777" w:rsidR="002D4FDD" w:rsidRPr="007B6E65" w:rsidRDefault="00624628" w:rsidP="002D4FDD">
      <w:pPr>
        <w:pStyle w:val="Paragraphedeliste"/>
        <w:numPr>
          <w:ilvl w:val="0"/>
          <w:numId w:val="15"/>
        </w:numPr>
        <w:shd w:val="clear" w:color="auto" w:fill="FFFFFF"/>
        <w:ind w:left="1434" w:hanging="357"/>
        <w:rPr>
          <w:rFonts w:ascii="Arial" w:hAnsi="Arial" w:cs="Arial"/>
          <w:sz w:val="24"/>
          <w:szCs w:val="24"/>
        </w:rPr>
      </w:pPr>
      <w:r>
        <w:rPr>
          <w:rFonts w:ascii="Arial" w:hAnsi="Arial"/>
          <w:sz w:val="24"/>
          <w:bdr w:val="nil"/>
        </w:rPr>
        <w:t>Verwaltung der Haushaltsfinanzen</w:t>
      </w:r>
    </w:p>
    <w:p w14:paraId="502AB13A" w14:textId="77777777" w:rsidR="002D4FDD" w:rsidRPr="007B6E65" w:rsidRDefault="00624628" w:rsidP="002D4FDD">
      <w:pPr>
        <w:pStyle w:val="Paragraphedeliste"/>
        <w:numPr>
          <w:ilvl w:val="0"/>
          <w:numId w:val="15"/>
        </w:numPr>
        <w:shd w:val="clear" w:color="auto" w:fill="FFFFFF"/>
        <w:ind w:left="1434" w:hanging="357"/>
        <w:rPr>
          <w:rFonts w:ascii="Arial" w:hAnsi="Arial" w:cs="Arial"/>
          <w:sz w:val="24"/>
          <w:szCs w:val="24"/>
        </w:rPr>
      </w:pPr>
      <w:r>
        <w:rPr>
          <w:rFonts w:ascii="Arial" w:hAnsi="Arial"/>
          <w:sz w:val="24"/>
          <w:bdr w:val="nil"/>
        </w:rPr>
        <w:t>Verständnis Ihrer Rechte als Mieter</w:t>
      </w:r>
    </w:p>
    <w:p w14:paraId="10DDE074" w14:textId="77777777" w:rsidR="002D4FDD" w:rsidRPr="007B6E65" w:rsidRDefault="00624628" w:rsidP="002D4FDD">
      <w:pPr>
        <w:pStyle w:val="Paragraphedeliste"/>
        <w:numPr>
          <w:ilvl w:val="0"/>
          <w:numId w:val="15"/>
        </w:numPr>
        <w:shd w:val="clear" w:color="auto" w:fill="FFFFFF"/>
        <w:ind w:left="1434" w:hanging="357"/>
        <w:rPr>
          <w:rFonts w:ascii="Arial" w:hAnsi="Arial" w:cs="Arial"/>
          <w:sz w:val="24"/>
          <w:szCs w:val="24"/>
        </w:rPr>
      </w:pPr>
      <w:r>
        <w:rPr>
          <w:rFonts w:ascii="Arial" w:hAnsi="Arial"/>
          <w:sz w:val="24"/>
          <w:bdr w:val="nil"/>
        </w:rPr>
        <w:t xml:space="preserve">Abschluss und Kündigung eines Mietvertrags </w:t>
      </w:r>
    </w:p>
    <w:p w14:paraId="2AF88893" w14:textId="77777777" w:rsidR="002D4FDD" w:rsidRPr="007B6E65" w:rsidRDefault="00624628" w:rsidP="002D4FDD">
      <w:pPr>
        <w:pStyle w:val="Paragraphedeliste"/>
        <w:numPr>
          <w:ilvl w:val="0"/>
          <w:numId w:val="15"/>
        </w:numPr>
        <w:shd w:val="clear" w:color="auto" w:fill="FFFFFF"/>
        <w:ind w:left="1434" w:hanging="357"/>
        <w:rPr>
          <w:rFonts w:ascii="Arial" w:hAnsi="Arial" w:cs="Arial"/>
          <w:sz w:val="24"/>
          <w:szCs w:val="24"/>
        </w:rPr>
      </w:pPr>
      <w:r>
        <w:rPr>
          <w:rFonts w:ascii="Arial" w:hAnsi="Arial"/>
          <w:sz w:val="24"/>
          <w:bdr w:val="nil"/>
        </w:rPr>
        <w:t xml:space="preserve">Administrative Schritte, die bei einem Umzug zu erledigen sind  </w:t>
      </w:r>
    </w:p>
    <w:p w14:paraId="1B9C3F5A" w14:textId="77777777" w:rsidR="002D4FDD" w:rsidRPr="007B6E65" w:rsidRDefault="00624628" w:rsidP="002D4FDD">
      <w:pPr>
        <w:pStyle w:val="Paragraphedeliste"/>
        <w:numPr>
          <w:ilvl w:val="0"/>
          <w:numId w:val="15"/>
        </w:numPr>
        <w:shd w:val="clear" w:color="auto" w:fill="FFFFFF"/>
        <w:ind w:left="1434" w:hanging="357"/>
        <w:rPr>
          <w:rFonts w:ascii="Arial" w:hAnsi="Arial" w:cs="Arial"/>
          <w:sz w:val="24"/>
          <w:szCs w:val="24"/>
        </w:rPr>
      </w:pPr>
      <w:r>
        <w:rPr>
          <w:rFonts w:ascii="Arial" w:hAnsi="Arial"/>
          <w:sz w:val="24"/>
          <w:bdr w:val="nil"/>
        </w:rPr>
        <w:t>Bezahlung von Rechnungen</w:t>
      </w:r>
    </w:p>
    <w:p w14:paraId="54373244" w14:textId="77777777" w:rsidR="002D4FDD" w:rsidRPr="007B6E65" w:rsidRDefault="00624628" w:rsidP="002D4FDD">
      <w:pPr>
        <w:pStyle w:val="Paragraphedeliste"/>
        <w:numPr>
          <w:ilvl w:val="0"/>
          <w:numId w:val="15"/>
        </w:numPr>
        <w:shd w:val="clear" w:color="auto" w:fill="FFFFFF"/>
        <w:ind w:left="1434" w:hanging="357"/>
        <w:rPr>
          <w:rFonts w:ascii="Arial" w:hAnsi="Arial" w:cs="Arial"/>
          <w:sz w:val="24"/>
          <w:szCs w:val="24"/>
        </w:rPr>
      </w:pPr>
      <w:r>
        <w:rPr>
          <w:rFonts w:ascii="Arial" w:hAnsi="Arial"/>
          <w:sz w:val="24"/>
          <w:bdr w:val="nil"/>
        </w:rPr>
        <w:t>Eröffnung eines Bankkontos</w:t>
      </w:r>
    </w:p>
    <w:p w14:paraId="64903AFC" w14:textId="77777777" w:rsidR="002D4FDD" w:rsidRPr="007B6E65" w:rsidRDefault="00624628" w:rsidP="002D4FDD">
      <w:pPr>
        <w:pStyle w:val="Paragraphedeliste"/>
        <w:numPr>
          <w:ilvl w:val="0"/>
          <w:numId w:val="15"/>
        </w:numPr>
        <w:shd w:val="clear" w:color="auto" w:fill="FFFFFF"/>
        <w:ind w:left="1434" w:hanging="357"/>
        <w:rPr>
          <w:rFonts w:ascii="Arial" w:hAnsi="Arial" w:cs="Arial"/>
          <w:sz w:val="24"/>
          <w:szCs w:val="24"/>
        </w:rPr>
      </w:pPr>
      <w:r>
        <w:rPr>
          <w:rFonts w:ascii="Arial" w:hAnsi="Arial"/>
          <w:sz w:val="24"/>
          <w:bdr w:val="nil"/>
        </w:rPr>
        <w:t>Nutzung von Online-Diensten (wie Banking und andere Dienstleistungen)</w:t>
      </w:r>
    </w:p>
    <w:p w14:paraId="0C33BF0D" w14:textId="77777777" w:rsidR="002D4FDD" w:rsidRPr="007B6E65" w:rsidRDefault="00624628" w:rsidP="002D4FDD">
      <w:pPr>
        <w:pStyle w:val="Paragraphedeliste"/>
        <w:numPr>
          <w:ilvl w:val="0"/>
          <w:numId w:val="15"/>
        </w:numPr>
        <w:shd w:val="clear" w:color="auto" w:fill="FFFFFF"/>
        <w:ind w:left="1434" w:hanging="357"/>
        <w:rPr>
          <w:rFonts w:ascii="Arial" w:hAnsi="Arial" w:cs="Arial"/>
          <w:sz w:val="24"/>
          <w:szCs w:val="24"/>
        </w:rPr>
      </w:pPr>
      <w:r>
        <w:rPr>
          <w:rFonts w:ascii="Arial" w:hAnsi="Arial"/>
          <w:sz w:val="24"/>
          <w:bdr w:val="nil"/>
        </w:rPr>
        <w:t xml:space="preserve">Kochen und Ernährung </w:t>
      </w:r>
    </w:p>
    <w:p w14:paraId="3834FF9C" w14:textId="77777777" w:rsidR="002D4FDD" w:rsidRPr="007B6E65" w:rsidRDefault="00624628" w:rsidP="002D4FDD">
      <w:pPr>
        <w:pStyle w:val="Paragraphedeliste"/>
        <w:numPr>
          <w:ilvl w:val="0"/>
          <w:numId w:val="15"/>
        </w:numPr>
        <w:shd w:val="clear" w:color="auto" w:fill="FFFFFF"/>
        <w:ind w:left="1434" w:hanging="357"/>
        <w:rPr>
          <w:rFonts w:ascii="Arial" w:hAnsi="Arial" w:cs="Arial"/>
          <w:sz w:val="24"/>
          <w:szCs w:val="24"/>
        </w:rPr>
      </w:pPr>
      <w:r>
        <w:rPr>
          <w:rFonts w:ascii="Arial" w:hAnsi="Arial"/>
          <w:sz w:val="24"/>
          <w:bdr w:val="nil"/>
        </w:rPr>
        <w:t xml:space="preserve">Nutzung öffentlicher Verkehrsmittel </w:t>
      </w:r>
    </w:p>
    <w:p w14:paraId="643ECBC0" w14:textId="77777777" w:rsidR="002D4FDD" w:rsidRPr="007B6E65" w:rsidRDefault="00624628" w:rsidP="002D4FDD">
      <w:pPr>
        <w:pStyle w:val="Paragraphedeliste"/>
        <w:numPr>
          <w:ilvl w:val="0"/>
          <w:numId w:val="15"/>
        </w:numPr>
        <w:shd w:val="clear" w:color="auto" w:fill="FFFFFF"/>
        <w:ind w:left="1434" w:hanging="357"/>
        <w:rPr>
          <w:rFonts w:ascii="Arial" w:hAnsi="Arial" w:cs="Arial"/>
          <w:sz w:val="24"/>
          <w:szCs w:val="24"/>
        </w:rPr>
      </w:pPr>
      <w:r>
        <w:rPr>
          <w:rFonts w:ascii="Arial" w:hAnsi="Arial"/>
          <w:sz w:val="24"/>
          <w:bdr w:val="nil"/>
        </w:rPr>
        <w:lastRenderedPageBreak/>
        <w:t>Persönliche Hygiene</w:t>
      </w:r>
    </w:p>
    <w:p w14:paraId="581B7AE9" w14:textId="77777777" w:rsidR="002D4FDD" w:rsidRPr="007B6E65" w:rsidRDefault="00624628" w:rsidP="002D4FDD">
      <w:pPr>
        <w:pStyle w:val="Paragraphedeliste"/>
        <w:numPr>
          <w:ilvl w:val="0"/>
          <w:numId w:val="15"/>
        </w:numPr>
        <w:shd w:val="clear" w:color="auto" w:fill="FFFFFF"/>
        <w:ind w:left="1434" w:hanging="357"/>
        <w:rPr>
          <w:rFonts w:ascii="Arial" w:hAnsi="Arial" w:cs="Arial"/>
          <w:sz w:val="24"/>
          <w:szCs w:val="24"/>
        </w:rPr>
      </w:pPr>
      <w:r>
        <w:rPr>
          <w:rFonts w:ascii="Arial" w:hAnsi="Arial"/>
          <w:sz w:val="24"/>
          <w:bdr w:val="nil"/>
        </w:rPr>
        <w:t xml:space="preserve">Familienplanung </w:t>
      </w:r>
    </w:p>
    <w:p w14:paraId="314727A5" w14:textId="77777777" w:rsidR="002D4FDD" w:rsidRPr="007B6E65" w:rsidRDefault="00116DB0" w:rsidP="002D4FDD">
      <w:pPr>
        <w:pStyle w:val="Paragraphedeliste"/>
        <w:numPr>
          <w:ilvl w:val="0"/>
          <w:numId w:val="15"/>
        </w:numPr>
        <w:shd w:val="clear" w:color="auto" w:fill="FFFFFF"/>
        <w:ind w:left="1434" w:hanging="357"/>
        <w:rPr>
          <w:rFonts w:ascii="Arial" w:hAnsi="Arial" w:cs="Arial"/>
          <w:sz w:val="24"/>
          <w:szCs w:val="24"/>
        </w:rPr>
      </w:pPr>
      <w:r>
        <w:rPr>
          <w:rFonts w:ascii="Arial" w:hAnsi="Arial"/>
          <w:sz w:val="24"/>
          <w:bdr w:val="nil"/>
        </w:rPr>
        <w:t>Aufrechterhaltung der Sauberkeit im Haushalt</w:t>
      </w:r>
    </w:p>
    <w:p w14:paraId="11C8A71B" w14:textId="77777777" w:rsidR="002D4FDD" w:rsidRPr="007B6E65" w:rsidRDefault="00624628" w:rsidP="002D4FDD">
      <w:pPr>
        <w:pStyle w:val="Paragraphedeliste"/>
        <w:numPr>
          <w:ilvl w:val="0"/>
          <w:numId w:val="15"/>
        </w:numPr>
        <w:shd w:val="clear" w:color="auto" w:fill="FFFFFF"/>
        <w:ind w:left="1434" w:hanging="357"/>
        <w:rPr>
          <w:rFonts w:ascii="Arial" w:hAnsi="Arial" w:cs="Arial"/>
          <w:sz w:val="24"/>
          <w:szCs w:val="24"/>
        </w:rPr>
      </w:pPr>
      <w:r>
        <w:rPr>
          <w:rFonts w:ascii="Arial" w:hAnsi="Arial"/>
          <w:sz w:val="24"/>
          <w:bdr w:val="nil"/>
        </w:rPr>
        <w:t>Das Wissen, an welche Stellen man sich bei Problemen mit Nachbarn, häuslicher Gewalt usw. wenden kann.</w:t>
      </w:r>
    </w:p>
    <w:p w14:paraId="59BF7932" w14:textId="77777777" w:rsidR="002D4FDD" w:rsidRPr="007B6E65" w:rsidRDefault="002D4FDD" w:rsidP="002D4FDD">
      <w:pPr>
        <w:pStyle w:val="Paragraphedeliste"/>
        <w:shd w:val="clear" w:color="auto" w:fill="FFFFFF"/>
        <w:ind w:left="1434"/>
        <w:rPr>
          <w:rFonts w:ascii="Arial" w:hAnsi="Arial" w:cs="Arial"/>
          <w:sz w:val="24"/>
          <w:szCs w:val="24"/>
        </w:rPr>
      </w:pPr>
    </w:p>
    <w:p w14:paraId="21994A75" w14:textId="77777777" w:rsidR="009878D7" w:rsidRDefault="00624628" w:rsidP="002D4FDD">
      <w:pPr>
        <w:shd w:val="clear" w:color="auto" w:fill="FFFFFF"/>
        <w:rPr>
          <w:rFonts w:eastAsia="Arial" w:cs="Arial"/>
          <w:sz w:val="24"/>
          <w:szCs w:val="24"/>
          <w:bdr w:val="nil"/>
        </w:rPr>
      </w:pPr>
      <w:r>
        <w:rPr>
          <w:sz w:val="24"/>
          <w:bdr w:val="nil"/>
        </w:rPr>
        <w:t xml:space="preserve">Für manche kann es sich lohnen, sich darauf vorzubereiten, mit einem persönlichen Assistenten oder anderen Dienstleistern umzugehen und zu interagieren, um die Hilfe zu bekommen, die sie brauchen, und </w:t>
      </w:r>
    </w:p>
    <w:p w14:paraId="10CA356F" w14:textId="77777777" w:rsidR="009878D7" w:rsidRDefault="009878D7" w:rsidP="002D4FDD">
      <w:pPr>
        <w:shd w:val="clear" w:color="auto" w:fill="FFFFFF"/>
        <w:rPr>
          <w:rFonts w:eastAsia="Arial" w:cs="Arial"/>
          <w:sz w:val="24"/>
          <w:szCs w:val="24"/>
          <w:bdr w:val="nil"/>
        </w:rPr>
      </w:pPr>
    </w:p>
    <w:p w14:paraId="3870AF61" w14:textId="77777777" w:rsidR="002D4FDD" w:rsidRPr="007B6E65" w:rsidRDefault="00624628" w:rsidP="002D4FDD">
      <w:pPr>
        <w:shd w:val="clear" w:color="auto" w:fill="FFFFFF"/>
        <w:rPr>
          <w:rFonts w:cs="Arial"/>
          <w:sz w:val="24"/>
          <w:szCs w:val="24"/>
        </w:rPr>
      </w:pPr>
      <w:r>
        <w:rPr>
          <w:sz w:val="24"/>
          <w:bdr w:val="nil"/>
        </w:rPr>
        <w:t xml:space="preserve">über die notwendigen Instrumente verfügen, um die Kontrolle über diese Hilfe auszuüben. Dabei kann es sich um Beratung in folgenden Bereichen handeln: </w:t>
      </w:r>
    </w:p>
    <w:p w14:paraId="5604DDB9" w14:textId="77777777" w:rsidR="002D4FDD" w:rsidRPr="007B6E65" w:rsidRDefault="00624628" w:rsidP="002D4FDD">
      <w:pPr>
        <w:pStyle w:val="Paragraphedeliste"/>
        <w:numPr>
          <w:ilvl w:val="0"/>
          <w:numId w:val="16"/>
        </w:numPr>
        <w:shd w:val="clear" w:color="auto" w:fill="FFFFFF"/>
        <w:ind w:left="1434" w:hanging="357"/>
        <w:rPr>
          <w:rFonts w:ascii="Arial" w:hAnsi="Arial" w:cs="Arial"/>
          <w:sz w:val="24"/>
          <w:szCs w:val="24"/>
        </w:rPr>
      </w:pPr>
      <w:r>
        <w:rPr>
          <w:rFonts w:ascii="Arial" w:hAnsi="Arial"/>
          <w:sz w:val="24"/>
          <w:bdr w:val="nil"/>
        </w:rPr>
        <w:t>Verwaltung ihres persönlichen Hilfeplans und ihres Unterstützungsbudgets</w:t>
      </w:r>
    </w:p>
    <w:p w14:paraId="13BAF8F9" w14:textId="77777777" w:rsidR="002D4FDD" w:rsidRDefault="00624628" w:rsidP="002D4FDD">
      <w:pPr>
        <w:pStyle w:val="Paragraphedeliste"/>
        <w:numPr>
          <w:ilvl w:val="0"/>
          <w:numId w:val="16"/>
        </w:numPr>
        <w:shd w:val="clear" w:color="auto" w:fill="FFFFFF"/>
        <w:ind w:left="1434" w:hanging="357"/>
        <w:rPr>
          <w:rFonts w:ascii="Arial" w:hAnsi="Arial" w:cs="Arial"/>
          <w:sz w:val="24"/>
          <w:szCs w:val="24"/>
        </w:rPr>
      </w:pPr>
      <w:r>
        <w:rPr>
          <w:rFonts w:ascii="Arial" w:hAnsi="Arial"/>
          <w:sz w:val="24"/>
          <w:bdr w:val="nil"/>
        </w:rPr>
        <w:t>Entwicklung von Kommunikationsfähigkeiten und -techniken, die dabei helfen können, den Dienstleistern klare Anweisungen zu geben und die erhaltenen Dienstleistungen zu verwalten und zu überwachen.</w:t>
      </w:r>
    </w:p>
    <w:p w14:paraId="06EE181E" w14:textId="77777777" w:rsidR="002D4FDD" w:rsidRPr="001C3FD2" w:rsidRDefault="00624628" w:rsidP="002D4FDD">
      <w:pPr>
        <w:pStyle w:val="Paragraphedeliste"/>
        <w:numPr>
          <w:ilvl w:val="0"/>
          <w:numId w:val="16"/>
        </w:numPr>
        <w:shd w:val="clear" w:color="auto" w:fill="FFFFFF"/>
        <w:ind w:left="1434" w:hanging="357"/>
        <w:rPr>
          <w:rFonts w:ascii="Arial" w:hAnsi="Arial" w:cs="Arial"/>
          <w:sz w:val="24"/>
          <w:szCs w:val="24"/>
        </w:rPr>
      </w:pPr>
      <w:r>
        <w:rPr>
          <w:rFonts w:ascii="Arial" w:hAnsi="Arial"/>
          <w:sz w:val="24"/>
          <w:bdr w:val="nil"/>
        </w:rPr>
        <w:t>Schulung über die rechtlichen Verpflichtungen und Rechte einer Person, die einen persönlichen Assistenten beschäftigt</w:t>
      </w:r>
    </w:p>
    <w:p w14:paraId="771FD817" w14:textId="77777777" w:rsidR="002D4FDD" w:rsidRPr="00A52151" w:rsidRDefault="00624628" w:rsidP="002D4FDD">
      <w:pPr>
        <w:shd w:val="clear" w:color="auto" w:fill="D9F2D0"/>
        <w:rPr>
          <w:rFonts w:cs="Arial"/>
          <w:sz w:val="24"/>
          <w:szCs w:val="24"/>
        </w:rPr>
      </w:pPr>
      <w:r>
        <w:rPr>
          <w:b/>
          <w:sz w:val="24"/>
          <w:bdr w:val="nil"/>
        </w:rPr>
        <w:t xml:space="preserve">Empfehlungen für nationale und lokale Behörden: </w:t>
      </w:r>
      <w:r>
        <w:rPr>
          <w:sz w:val="24"/>
          <w:bdr w:val="nil"/>
        </w:rPr>
        <w:t>Unterstützung aller jungen Menschen beim Erwerb von Fähigkeiten, die ihnen helfen, als Erwachsene ein selbstbestimmtes Leben zu führen. Die Vorbereitung auf ein selbstständiges Leben sollte für Lernende mit und ohne Behinderungen angeboten werden und in den regulären Lehrplan integriert werden.</w:t>
      </w:r>
    </w:p>
    <w:p w14:paraId="1BB1D61B" w14:textId="77777777" w:rsidR="002D4FDD" w:rsidRDefault="002D4FDD" w:rsidP="002D4FDD">
      <w:pPr>
        <w:rPr>
          <w:rFonts w:cs="Arial"/>
          <w:color w:val="000000"/>
          <w:shd w:val="clear" w:color="auto" w:fill="FFFFFF"/>
        </w:rPr>
      </w:pPr>
    </w:p>
    <w:p w14:paraId="106F8515" w14:textId="77777777" w:rsidR="002D4FDD" w:rsidRDefault="00624628" w:rsidP="002D4FDD">
      <w:pPr>
        <w:pStyle w:val="Titre3"/>
      </w:pPr>
      <w:bookmarkStart w:id="43" w:name="_Toc161062596"/>
      <w:r>
        <w:rPr>
          <w:bdr w:val="nil"/>
        </w:rPr>
        <w:t>Finanzielle Zugänglichkeit und Verfügbarkeit von Unterstützungsdiensten</w:t>
      </w:r>
      <w:bookmarkEnd w:id="43"/>
      <w:r>
        <w:rPr>
          <w:bdr w:val="nil"/>
        </w:rPr>
        <w:t xml:space="preserve"> </w:t>
      </w:r>
    </w:p>
    <w:p w14:paraId="21511DBE" w14:textId="77777777" w:rsidR="002D4FDD" w:rsidRPr="007B6E65" w:rsidRDefault="00624628" w:rsidP="002D4FDD">
      <w:pPr>
        <w:rPr>
          <w:rFonts w:cs="Arial"/>
          <w:sz w:val="24"/>
          <w:szCs w:val="24"/>
        </w:rPr>
      </w:pPr>
      <w:r>
        <w:rPr>
          <w:sz w:val="24"/>
          <w:bdr w:val="nil"/>
        </w:rPr>
        <w:t xml:space="preserve">Alternativen zu Einrichtungen werden keine echten Alternativen sein, wenn es nicht eine Reihe von Optionen für verschiedene Hilfen gibt und wenn sie für die Menschen, die sie benötigen, zu teuer sind. Daher ist es von entscheidender Bedeutung, dass die Unterstützung für ein selbstbestimmtes Leben und die Eingliederung in die Gemeinschaft für Menschen mit Behinderungen und ihre Familien erschwinglich und zugänglich ist. </w:t>
      </w:r>
    </w:p>
    <w:p w14:paraId="3FEED4D2" w14:textId="77777777" w:rsidR="002D4FDD" w:rsidRPr="00284394" w:rsidRDefault="00624628" w:rsidP="002D4FDD">
      <w:pPr>
        <w:shd w:val="clear" w:color="auto" w:fill="D9F2D0"/>
        <w:rPr>
          <w:rFonts w:cs="Arial"/>
          <w:sz w:val="24"/>
          <w:szCs w:val="24"/>
        </w:rPr>
      </w:pPr>
      <w:r>
        <w:rPr>
          <w:b/>
          <w:sz w:val="24"/>
          <w:bdr w:val="nil"/>
        </w:rPr>
        <w:t xml:space="preserve">Empfehlungen für nationale und lokale Behörden: </w:t>
      </w:r>
      <w:r>
        <w:rPr>
          <w:sz w:val="24"/>
          <w:bdr w:val="nil"/>
        </w:rPr>
        <w:t xml:space="preserve">Der Schwerpunkt liegt nicht nur auf den Arten der verfügbaren Dienstleistungen, sondern auch darauf, wie realistisch es ist, dass die Menschen, die sie benötigen, sie bezahlen können, auch unter Verwendung der von der Regierung zugewiesenen Budgets. Es muss alles getan werden, um ein Gleichgewicht zwischen Qualität, Verfügbarkeit und Erschwinglichkeit zu gewährleisten. Es sollte Unterstützung verfügbar sein, um Menschen mit Behinderungen dabei zu helfen, die Kosten für den Dienst ihrer Wahl zu decken. Niemand sollte gezwungen sein, aufgrund der Kosten für Unterstützungsdienste und persönliche Assistenz auf seine Menschenrechte zu verzichten. </w:t>
      </w:r>
    </w:p>
    <w:p w14:paraId="48674B1D" w14:textId="77777777" w:rsidR="002D4FDD" w:rsidRDefault="002D4FDD" w:rsidP="002D4FDD">
      <w:pPr>
        <w:rPr>
          <w:rFonts w:cs="Arial"/>
          <w:color w:val="000000"/>
          <w:shd w:val="clear" w:color="auto" w:fill="FFFFFF"/>
        </w:rPr>
      </w:pPr>
    </w:p>
    <w:p w14:paraId="3DB974AC" w14:textId="77777777" w:rsidR="002D4FDD" w:rsidRDefault="002D4FDD" w:rsidP="002D4FDD">
      <w:pPr>
        <w:rPr>
          <w:rFonts w:cs="Arial"/>
          <w:color w:val="000000"/>
          <w:shd w:val="clear" w:color="auto" w:fill="FFFFFF"/>
        </w:rPr>
      </w:pPr>
    </w:p>
    <w:p w14:paraId="0EBDBBDC" w14:textId="77777777" w:rsidR="002D4FDD" w:rsidRDefault="00624628" w:rsidP="002D4FDD">
      <w:pPr>
        <w:pStyle w:val="Titre2"/>
        <w:numPr>
          <w:ilvl w:val="0"/>
          <w:numId w:val="21"/>
        </w:numPr>
        <w:jc w:val="center"/>
      </w:pPr>
      <w:bookmarkStart w:id="44" w:name="_Toc161062597"/>
      <w:r>
        <w:rPr>
          <w:bdr w:val="nil"/>
        </w:rPr>
        <w:t>Inklusive Gemeinschaften schaffen</w:t>
      </w:r>
      <w:bookmarkEnd w:id="44"/>
    </w:p>
    <w:p w14:paraId="1FDCA471" w14:textId="77777777" w:rsidR="002D4FDD" w:rsidRPr="00BE6607" w:rsidRDefault="002D4FDD" w:rsidP="002D4FDD"/>
    <w:p w14:paraId="6E9D3B65" w14:textId="77777777" w:rsidR="002D4FDD" w:rsidRPr="00FE36CA" w:rsidRDefault="00624628" w:rsidP="002D4FDD">
      <w:pPr>
        <w:pStyle w:val="Titre3"/>
      </w:pPr>
      <w:bookmarkStart w:id="45" w:name="_Toc161062598"/>
      <w:r>
        <w:rPr>
          <w:bdr w:val="nil"/>
        </w:rPr>
        <w:t>Zugängliche Gemeinschaften</w:t>
      </w:r>
      <w:bookmarkEnd w:id="45"/>
    </w:p>
    <w:p w14:paraId="20FC8250" w14:textId="77777777" w:rsidR="009878D7" w:rsidRDefault="00624628" w:rsidP="002D4FDD">
      <w:pPr>
        <w:rPr>
          <w:rFonts w:eastAsia="Arial" w:cs="Arial"/>
          <w:sz w:val="24"/>
          <w:szCs w:val="24"/>
          <w:bdr w:val="nil"/>
        </w:rPr>
      </w:pPr>
      <w:r>
        <w:rPr>
          <w:sz w:val="24"/>
          <w:bdr w:val="nil"/>
        </w:rPr>
        <w:t xml:space="preserve">Die Unzugänglichkeit von öffentlichen Räumen, Verkehrsmitteln und Wohnungen macht die Aussicht auf ein selbstbestimmtes Leben und die Integration in die Gemeinschaft unmöglich. Daher ist es von entscheidender Bedeutung, dass die Bemühungen, Menschen mit Behinderungen den Übergang von Einrichtungen zu einem selbstbestimmten Leben  </w:t>
      </w:r>
    </w:p>
    <w:p w14:paraId="121FEAD7" w14:textId="77777777" w:rsidR="009878D7" w:rsidRDefault="009878D7" w:rsidP="002D4FDD">
      <w:pPr>
        <w:rPr>
          <w:rFonts w:eastAsia="Arial" w:cs="Arial"/>
          <w:sz w:val="24"/>
          <w:szCs w:val="24"/>
          <w:bdr w:val="nil"/>
        </w:rPr>
      </w:pPr>
    </w:p>
    <w:p w14:paraId="6D810149" w14:textId="77777777" w:rsidR="002D4FDD" w:rsidRPr="006001E0" w:rsidRDefault="00624628" w:rsidP="002D4FDD">
      <w:pPr>
        <w:rPr>
          <w:rFonts w:cs="Arial"/>
          <w:sz w:val="24"/>
          <w:szCs w:val="24"/>
        </w:rPr>
      </w:pPr>
      <w:r>
        <w:rPr>
          <w:sz w:val="24"/>
          <w:bdr w:val="nil"/>
        </w:rPr>
        <w:t xml:space="preserve">zu ermöglichen, parallel zu einem breiteren Engagement für die Verbesserung der Zugänglichkeit unserer Gesellschaften unternommen werden. </w:t>
      </w:r>
    </w:p>
    <w:p w14:paraId="091B3CCB" w14:textId="77777777" w:rsidR="002D4FDD" w:rsidRPr="006001E0" w:rsidRDefault="00624628" w:rsidP="002D4FDD">
      <w:pPr>
        <w:rPr>
          <w:rFonts w:cs="Arial"/>
          <w:sz w:val="24"/>
          <w:szCs w:val="24"/>
        </w:rPr>
      </w:pPr>
      <w:r>
        <w:rPr>
          <w:sz w:val="24"/>
          <w:bdr w:val="nil"/>
        </w:rPr>
        <w:t xml:space="preserve">Die Verbesserung der umfassenden Barrierefreiheit kommt allen zugute und wird auch die Nutzbarkeit unserer öffentlichen Infrastruktur und die Bewohnbarkeit unseres Wohnungsbestands für eine alternde Bevölkerung sicherstellen. Menschen mit Behinderungen können nur dann ihren Lebensort wählen, über ihre Reisen und ihren Tagesablauf entscheiden, wenn sie Zugang zu diesen Räumen haben. </w:t>
      </w:r>
    </w:p>
    <w:p w14:paraId="74F7E12E" w14:textId="77777777" w:rsidR="002D4FDD" w:rsidRDefault="00624628" w:rsidP="002D4FDD">
      <w:pPr>
        <w:rPr>
          <w:rFonts w:cs="Arial"/>
          <w:sz w:val="24"/>
          <w:szCs w:val="24"/>
        </w:rPr>
      </w:pPr>
      <w:r>
        <w:rPr>
          <w:sz w:val="24"/>
          <w:bdr w:val="nil"/>
        </w:rPr>
        <w:t xml:space="preserve">Es kann nicht genug betont werden, wie wichtig es ist, die Zugänglichkeit in Europa zu verbessern, und zwar nicht nur in neu entwickelten bebauten Umgebungen und Verkehrsmitteln, sondern auch bei der Modernisierung bestehender Strukturen. In Europa muss in diesem Bereich noch einiges geschehen. Dringende und ehrgeizige Investitionen sind erforderlich. Wenn die Investition jedoch nicht jetzt getätigt wird, laufen wir Gefahr, dass ein immer größerer Anteil des öffentlichen Raums, des öffentlichen Verkehrs und der Wohnungen von einem Großteil der Bevölkerung schlichtweg nicht genutzt werden kann. </w:t>
      </w:r>
    </w:p>
    <w:p w14:paraId="64868CB5" w14:textId="77777777" w:rsidR="002D4FDD" w:rsidRPr="008E19B4" w:rsidRDefault="00624628" w:rsidP="002D4FDD">
      <w:pPr>
        <w:shd w:val="clear" w:color="auto" w:fill="D9F2D0"/>
        <w:rPr>
          <w:rFonts w:cs="Arial"/>
          <w:sz w:val="24"/>
          <w:szCs w:val="24"/>
        </w:rPr>
      </w:pPr>
      <w:r>
        <w:rPr>
          <w:b/>
          <w:sz w:val="24"/>
          <w:bdr w:val="nil"/>
        </w:rPr>
        <w:t xml:space="preserve">Empfehlungen für nationale und lokale Behörden: </w:t>
      </w:r>
      <w:r>
        <w:rPr>
          <w:sz w:val="24"/>
          <w:bdr w:val="nil"/>
        </w:rPr>
        <w:t xml:space="preserve">Dringend und ehrgeizig in die Verbesserung der Zugänglichkeit von Gemeinschaften für alle Menschen investieren, insbesondere für Menschen mit Behinderungen. Daher muss sichergestellt werden, dass öffentliche Räume und Gebäude zugänglich sind, ebenso wie alle Formen des öffentlichen Verkehrs und der öffentlichen Dienstleistungen. Außerdem muss massiv in die Zugänglichkeit von Wohnungen investiert werden, wobei sicherzustellen ist, dass alle Neubauten für Menschen mit Behinderungen leicht zugänglich sind oder leicht und kostengünstig zugänglich gemacht werden können, und indem bestehende Wohnungen, wo immer möglich, barrierefrei umgestaltet werden. </w:t>
      </w:r>
    </w:p>
    <w:p w14:paraId="18D0E448" w14:textId="77777777" w:rsidR="002D4FDD" w:rsidRDefault="002D4FDD" w:rsidP="002D4FDD"/>
    <w:p w14:paraId="20D2608C" w14:textId="77777777" w:rsidR="002D4FDD" w:rsidRDefault="00624628" w:rsidP="002D4FDD">
      <w:pPr>
        <w:pStyle w:val="Titre3"/>
      </w:pPr>
      <w:bookmarkStart w:id="46" w:name="_Toc161062599"/>
      <w:r>
        <w:rPr>
          <w:bdr w:val="nil"/>
        </w:rPr>
        <w:lastRenderedPageBreak/>
        <w:t>Zugang zu Beschäftigung, Bildung und Gesundheitsfürsorge</w:t>
      </w:r>
      <w:bookmarkEnd w:id="46"/>
    </w:p>
    <w:p w14:paraId="41CE8BCA" w14:textId="77777777" w:rsidR="002D4FDD" w:rsidRDefault="00624628" w:rsidP="002D4FDD">
      <w:pPr>
        <w:rPr>
          <w:rFonts w:cs="Arial"/>
          <w:sz w:val="24"/>
          <w:szCs w:val="24"/>
        </w:rPr>
      </w:pPr>
      <w:r>
        <w:rPr>
          <w:sz w:val="24"/>
          <w:bdr w:val="nil"/>
        </w:rPr>
        <w:t xml:space="preserve">Die Eingliederung in die Gemeinschaft kann durch den Zugang zu einer hochwertigen Gesundheitsversorgung, einer inklusiven Bildung und einem offenen Arbeitsmarkt erheblich erleichtert werden. </w:t>
      </w:r>
    </w:p>
    <w:p w14:paraId="2BD58F50" w14:textId="77777777" w:rsidR="002D4FDD" w:rsidRDefault="00624628" w:rsidP="002D4FDD">
      <w:pPr>
        <w:rPr>
          <w:rFonts w:cs="Arial"/>
          <w:sz w:val="24"/>
          <w:szCs w:val="24"/>
        </w:rPr>
      </w:pPr>
      <w:r>
        <w:rPr>
          <w:sz w:val="24"/>
          <w:bdr w:val="nil"/>
        </w:rPr>
        <w:t xml:space="preserve">Beginnen wir mit einem offenen Arbeitsmarkt. Beschäftigung ermöglicht den Aufbau von Beziehungen zur Gemeinschaft. Das Gehalt aus einer Beschäftigung ist auch ein wesentliches Mittel für den Zugang zu anderen grundlegenden Dienstleistungen wie Unterkunft, Verkehrsmitteln usw. </w:t>
      </w:r>
    </w:p>
    <w:p w14:paraId="3AE7BC1E" w14:textId="77777777" w:rsidR="009878D7" w:rsidRDefault="00624628" w:rsidP="002D4FDD">
      <w:pPr>
        <w:rPr>
          <w:rFonts w:eastAsia="Arial" w:cs="Arial"/>
          <w:sz w:val="24"/>
          <w:szCs w:val="24"/>
          <w:bdr w:val="nil"/>
        </w:rPr>
      </w:pPr>
      <w:r>
        <w:rPr>
          <w:sz w:val="24"/>
          <w:bdr w:val="nil"/>
        </w:rPr>
        <w:t xml:space="preserve">Die Eingliederung in den offenen Arbeitsmarkt ist untrennbar mit der Notwendigkeit verbunden, eine hochwertige Bildung zu erhalten. Daher ist es von entscheidender Bedeutung, dass Menschen mit Behinderungen die Möglichkeit haben, in regulären Lernumgebungen unterrichtet zu werden, und dass sie die Unterstützung erhalten, die sie benötigen, um in diesen Umgebungen erfolgreich zu sein. Normale Bildungseinrichtungen </w:t>
      </w:r>
    </w:p>
    <w:p w14:paraId="67288C62" w14:textId="77777777" w:rsidR="009878D7" w:rsidRDefault="009878D7" w:rsidP="002D4FDD">
      <w:pPr>
        <w:rPr>
          <w:rFonts w:eastAsia="Arial" w:cs="Arial"/>
          <w:sz w:val="24"/>
          <w:szCs w:val="24"/>
          <w:bdr w:val="nil"/>
        </w:rPr>
      </w:pPr>
    </w:p>
    <w:p w14:paraId="199E825E" w14:textId="77777777" w:rsidR="002D4FDD" w:rsidRDefault="00624628" w:rsidP="002D4FDD">
      <w:pPr>
        <w:rPr>
          <w:rFonts w:cs="Arial"/>
          <w:sz w:val="24"/>
          <w:szCs w:val="24"/>
        </w:rPr>
      </w:pPr>
      <w:r>
        <w:rPr>
          <w:sz w:val="24"/>
          <w:bdr w:val="nil"/>
        </w:rPr>
        <w:t xml:space="preserve">sind ein Weg zu hochwertigen und erkennbaren Qualifikationen, die von Arbeitgebern nachgefragt werden. </w:t>
      </w:r>
    </w:p>
    <w:p w14:paraId="70FBFFCD" w14:textId="77777777" w:rsidR="002D4FDD" w:rsidRDefault="00624628" w:rsidP="002D4FDD">
      <w:pPr>
        <w:rPr>
          <w:rFonts w:cs="Arial"/>
          <w:sz w:val="24"/>
          <w:szCs w:val="24"/>
        </w:rPr>
      </w:pPr>
      <w:r>
        <w:rPr>
          <w:sz w:val="24"/>
          <w:bdr w:val="nil"/>
        </w:rPr>
        <w:t>Der Zugang zu einer Gesundheitsversorgung, die den besonderen Bedürfnissen von Menschen mit Behinderungen gerecht werden kann, ist ebenfalls entscheidend für die Förderung eines selbstbestimmten Lebens und die Eingliederung in die Gemeinschaft. Menschen mit Behinderungen sollten Zugang zur Gesundheitsversorgung in medizinischen Zentren und Krankenhäusern haben, die sowohl für Menschen mit als auch für Menschen ohne Behinderungen funktionieren. Um die notwendige medizinische Versorgung zu erhalten, sollten Menschen mit Behinderungen nicht gezwungen sein, separate medizinische Einrichtungen aufzusuchen, die nur für Menschen mit Behinderungen bestimmt sind und sich an Orten befinden, die sich von den Orten unterscheiden, an denen Menschen ohne Behinderungen medizinische Versorgung erhalten.</w:t>
      </w:r>
    </w:p>
    <w:p w14:paraId="0E914965" w14:textId="77777777" w:rsidR="002D4FDD" w:rsidRDefault="00624628" w:rsidP="002D4FDD">
      <w:pPr>
        <w:shd w:val="clear" w:color="auto" w:fill="D9F2D0"/>
        <w:rPr>
          <w:rFonts w:cs="Arial"/>
          <w:sz w:val="24"/>
          <w:szCs w:val="24"/>
        </w:rPr>
      </w:pPr>
      <w:r>
        <w:rPr>
          <w:b/>
          <w:bCs/>
          <w:sz w:val="24"/>
          <w:szCs w:val="24"/>
          <w:bdr w:val="nil"/>
        </w:rPr>
        <w:t>Empfehlungen für nationale und lokale Behörden:</w:t>
      </w:r>
      <w:r>
        <w:rPr>
          <w:sz w:val="24"/>
          <w:bdr w:val="nil"/>
        </w:rPr>
        <w:t xml:space="preserve"> Gewährleistung der Möglichkeit des Zugangs zu inklusiver und regulärer Bildung und Bereitstellung der notwendigen Unterstützung für alle Lernenden mit Behinderungen, damit sie lernen und sich in ihrer Bildung entfalten können.</w:t>
      </w:r>
      <w:r>
        <w:rPr>
          <w:bdr w:val="nil"/>
        </w:rPr>
        <w:br/>
      </w:r>
      <w:r>
        <w:rPr>
          <w:bdr w:val="nil"/>
        </w:rPr>
        <w:br/>
      </w:r>
      <w:r>
        <w:rPr>
          <w:sz w:val="24"/>
          <w:bdr w:val="nil"/>
        </w:rPr>
        <w:t xml:space="preserve">Mehr Unterstützung für den Zugang zum offenen Arbeitsmarkt, indem die Beibehaltung des Behindertengeldes während der Erwerbstätigkeit erleichtert wird, indem sichergestellt wird, dass angemessene Vorkehrungen an allen Arbeitsplätzen leichter und systematischer getroffen werden, und indem in Arbeitsvermittlungsdienste für Menschen mit Behinderungen sowie </w:t>
      </w:r>
      <w:hyperlink r:id="rId29">
        <w:r>
          <w:rPr>
            <w:color w:val="0000FF"/>
            <w:sz w:val="24"/>
            <w:u w:val="single"/>
            <w:bdr w:val="nil"/>
          </w:rPr>
          <w:t>andere Initiativen zur Eingliederung in die Beschäftigung</w:t>
        </w:r>
      </w:hyperlink>
      <w:r>
        <w:rPr>
          <w:sz w:val="24"/>
          <w:bdr w:val="nil"/>
        </w:rPr>
        <w:t xml:space="preserve"> investiert wird.</w:t>
      </w:r>
    </w:p>
    <w:p w14:paraId="76B96D26" w14:textId="77777777" w:rsidR="002D4FDD" w:rsidRPr="00A724F9" w:rsidRDefault="00624628" w:rsidP="002D4FDD">
      <w:pPr>
        <w:shd w:val="clear" w:color="auto" w:fill="D9F2D0"/>
        <w:rPr>
          <w:rFonts w:cs="Arial"/>
          <w:sz w:val="24"/>
          <w:szCs w:val="24"/>
        </w:rPr>
      </w:pPr>
      <w:r>
        <w:rPr>
          <w:sz w:val="24"/>
          <w:bdr w:val="nil"/>
        </w:rPr>
        <w:lastRenderedPageBreak/>
        <w:t xml:space="preserve">Sicherstellen, dass Menschen mit Behinderungen die medizinische Versorgung erhalten können, die sie möglicherweise benötigen und die auf ihre Bedürfnisse zugeschnitten ist, und zwar in normalen medizinischen Einrichtungen, die nicht ausschließlich für Menschen mit Behinderungen geschaffen wurden. </w:t>
      </w:r>
    </w:p>
    <w:p w14:paraId="429D3341" w14:textId="77777777" w:rsidR="002D4FDD" w:rsidRDefault="002D4FDD" w:rsidP="002D4FDD">
      <w:pPr>
        <w:rPr>
          <w:rFonts w:cs="Arial"/>
          <w:sz w:val="24"/>
          <w:szCs w:val="24"/>
        </w:rPr>
      </w:pPr>
    </w:p>
    <w:p w14:paraId="23C4268C" w14:textId="77777777" w:rsidR="002D4FDD" w:rsidRDefault="00624628" w:rsidP="002D4FDD">
      <w:pPr>
        <w:pStyle w:val="Titre3"/>
        <w:rPr>
          <w:rFonts w:cs="Arial"/>
        </w:rPr>
      </w:pPr>
      <w:bookmarkStart w:id="47" w:name="_Toc161062600"/>
      <w:r>
        <w:rPr>
          <w:bdr w:val="nil"/>
        </w:rPr>
        <w:t>Kultur und Freizeit</w:t>
      </w:r>
      <w:bookmarkEnd w:id="47"/>
    </w:p>
    <w:p w14:paraId="37078BD9" w14:textId="77777777" w:rsidR="002D4FDD" w:rsidRDefault="00624628" w:rsidP="002D4FDD">
      <w:pPr>
        <w:rPr>
          <w:rFonts w:cs="Arial"/>
          <w:sz w:val="24"/>
          <w:szCs w:val="24"/>
        </w:rPr>
      </w:pPr>
      <w:r>
        <w:rPr>
          <w:sz w:val="24"/>
          <w:bdr w:val="nil"/>
        </w:rPr>
        <w:t xml:space="preserve">Die Integration in die Gemeinschaft beschränkt sich nicht auf den Zugang zu Dienstleistungen und Einrichtungen, die für das Leben und das Über-die-Runden-kommen unerlässlich sind. Inklusive Gemeinschaften sollten auch solche sein, in denen Kultur- und Freizeitaktivitäten Menschen mit Behinderungen aufnehmen können. Sie sollten Menschen mit Behinderungen in die Lage versetzen, das, was die Gemeinschaft zu bieten hat, auf die gleiche Weise zu nutzen wie der Rest der Gemeinschaft. </w:t>
      </w:r>
    </w:p>
    <w:p w14:paraId="378CC625" w14:textId="77777777" w:rsidR="002D4FDD" w:rsidRPr="009F53C2" w:rsidRDefault="00624628" w:rsidP="002D4FDD">
      <w:pPr>
        <w:shd w:val="clear" w:color="auto" w:fill="D9F2D0"/>
        <w:rPr>
          <w:rFonts w:cs="Arial"/>
          <w:sz w:val="24"/>
          <w:szCs w:val="24"/>
        </w:rPr>
      </w:pPr>
      <w:r>
        <w:rPr>
          <w:b/>
          <w:sz w:val="24"/>
          <w:bdr w:val="nil"/>
        </w:rPr>
        <w:t xml:space="preserve">Empfehlungen für nationale und lokale Behörden: </w:t>
      </w:r>
      <w:r>
        <w:rPr>
          <w:sz w:val="24"/>
          <w:bdr w:val="nil"/>
        </w:rPr>
        <w:t>Förderung der vollständigen Zugänglichkeit aller Kultur- und Freizeiteinrichtungen der Gemeinschaft.</w:t>
      </w:r>
    </w:p>
    <w:p w14:paraId="2E9A49C4" w14:textId="77777777" w:rsidR="002D4FDD" w:rsidRPr="00900E5F" w:rsidRDefault="002D4FDD" w:rsidP="002D4FDD"/>
    <w:p w14:paraId="700CB340" w14:textId="77777777" w:rsidR="002D4FDD" w:rsidRPr="005F3633" w:rsidRDefault="00624628" w:rsidP="002D4FDD">
      <w:pPr>
        <w:pStyle w:val="Titre2"/>
        <w:numPr>
          <w:ilvl w:val="0"/>
          <w:numId w:val="21"/>
        </w:numPr>
        <w:jc w:val="center"/>
      </w:pPr>
      <w:bookmarkStart w:id="48" w:name="_Toc161062601"/>
      <w:r>
        <w:rPr>
          <w:bdr w:val="nil"/>
        </w:rPr>
        <w:t>Übergreifende Elemente</w:t>
      </w:r>
      <w:bookmarkEnd w:id="48"/>
      <w:r>
        <w:rPr>
          <w:bdr w:val="nil"/>
        </w:rPr>
        <w:t xml:space="preserve"> </w:t>
      </w:r>
    </w:p>
    <w:p w14:paraId="3245904B" w14:textId="77777777" w:rsidR="002D4FDD" w:rsidRPr="006001E0" w:rsidRDefault="002D4FDD" w:rsidP="002D4FDD">
      <w:pPr>
        <w:rPr>
          <w:rFonts w:cs="Arial"/>
          <w:sz w:val="24"/>
          <w:szCs w:val="24"/>
        </w:rPr>
      </w:pPr>
    </w:p>
    <w:p w14:paraId="31BD5268" w14:textId="77777777" w:rsidR="002D4FDD" w:rsidRPr="00DB081C" w:rsidRDefault="00624628" w:rsidP="002D4FDD">
      <w:pPr>
        <w:pStyle w:val="Titre3"/>
      </w:pPr>
      <w:bookmarkStart w:id="49" w:name="_Toc161062602"/>
      <w:r>
        <w:rPr>
          <w:bdr w:val="nil"/>
        </w:rPr>
        <w:t>Strategien und Aktionspläne</w:t>
      </w:r>
      <w:bookmarkEnd w:id="49"/>
      <w:r>
        <w:rPr>
          <w:bdr w:val="nil"/>
        </w:rPr>
        <w:t xml:space="preserve"> </w:t>
      </w:r>
    </w:p>
    <w:p w14:paraId="470F2C5C" w14:textId="77777777" w:rsidR="002D4FDD" w:rsidRPr="006001E0" w:rsidRDefault="00624628" w:rsidP="002D4FDD">
      <w:pPr>
        <w:rPr>
          <w:rFonts w:cs="Arial"/>
          <w:sz w:val="24"/>
          <w:szCs w:val="24"/>
        </w:rPr>
      </w:pPr>
      <w:r>
        <w:rPr>
          <w:sz w:val="24"/>
          <w:bdr w:val="nil"/>
        </w:rPr>
        <w:t xml:space="preserve">Strategien und Aktionspläne für die Deinstitutionalisierung sind kein Selbstzweck. Es ist nicht wichtig, dass es eine Strategie gibt, sondern was sie bewirkt. Dennoch ist es wichtig, über eine Strategie zu verfügen, um die komplexe Aufgabe anzugehen, sich aus der Abhängigkeit von Einrichtungen zu befreien und stattdessen ein selbstbestimmtes Leben zu führen und in die Gemeinschaft eingebunden zu werden. Sie kann dazu beitragen, die Kohärenz zwischen den verschiedenen Maßnahmen zu gewährleisten, die zur Umsetzung des </w:t>
      </w:r>
      <w:proofErr w:type="spellStart"/>
      <w:r>
        <w:rPr>
          <w:sz w:val="24"/>
          <w:bdr w:val="nil"/>
        </w:rPr>
        <w:t>Deinstitutionalisierungsprozesses</w:t>
      </w:r>
      <w:proofErr w:type="spellEnd"/>
      <w:r>
        <w:rPr>
          <w:sz w:val="24"/>
          <w:bdr w:val="nil"/>
        </w:rPr>
        <w:t xml:space="preserve"> ergriffen werden. Sie ermöglicht auch die Verfolgung der Entwicklung der zahlreichen Elemente, die den Menschen helfen können, die Einrichtungen zu verlassen. </w:t>
      </w:r>
    </w:p>
    <w:p w14:paraId="2C259153" w14:textId="77777777" w:rsidR="002D4FDD" w:rsidRDefault="00624628" w:rsidP="002D4FDD">
      <w:pPr>
        <w:shd w:val="clear" w:color="auto" w:fill="FFFFFF"/>
        <w:rPr>
          <w:rFonts w:cs="Arial"/>
          <w:sz w:val="24"/>
          <w:szCs w:val="24"/>
        </w:rPr>
      </w:pPr>
      <w:r>
        <w:rPr>
          <w:sz w:val="24"/>
          <w:bdr w:val="nil"/>
        </w:rPr>
        <w:t xml:space="preserve">Strategien zur Deinstitutionalisierung und Aktionspläne sollten sich auf alle oben genannten Elemente dieses Dokuments beziehen. Damit sie etwas bewirken können, ist ein seriöses und realistisches Konzept für die Finanzierung aller vorgeschlagenen Maßnahmen sehr wichtig. Dieser Punkt ist besonders wichtig, wenn es darum geht, die „Kosten der Umstellung“ zu decken, die wir weiter unten erläutern. Außerdem ist es von entscheidender Bedeutung, Daten zu sammeln, den Fortschritt regelmäßig zu überwachen und alle Maßnahmen von Anfang an in Zusammenarbeit mit Organisationen oder Menschen mit Behinderungen zu konzipieren. </w:t>
      </w:r>
    </w:p>
    <w:p w14:paraId="3844F711" w14:textId="77777777" w:rsidR="002D4FDD" w:rsidRDefault="00624628" w:rsidP="002D4FDD">
      <w:pPr>
        <w:shd w:val="clear" w:color="auto" w:fill="FFFFFF"/>
        <w:rPr>
          <w:rFonts w:cs="Arial"/>
          <w:sz w:val="24"/>
          <w:szCs w:val="24"/>
        </w:rPr>
      </w:pPr>
      <w:r>
        <w:rPr>
          <w:sz w:val="24"/>
          <w:bdr w:val="nil"/>
        </w:rPr>
        <w:t>Die Strategie wird auch die Ausrichtung der Politik, die Finanzierung der Programme und die Entwicklung der personellen und technischen Ressourcen definieren.</w:t>
      </w:r>
    </w:p>
    <w:p w14:paraId="48C71FD1" w14:textId="77777777" w:rsidR="002D4FDD" w:rsidRPr="00A724F9" w:rsidRDefault="00624628" w:rsidP="002D4FDD">
      <w:pPr>
        <w:shd w:val="clear" w:color="auto" w:fill="D9F2D0"/>
        <w:rPr>
          <w:rFonts w:cs="Arial"/>
          <w:sz w:val="24"/>
          <w:szCs w:val="24"/>
        </w:rPr>
      </w:pPr>
      <w:r>
        <w:rPr>
          <w:b/>
          <w:sz w:val="24"/>
          <w:bdr w:val="nil"/>
        </w:rPr>
        <w:lastRenderedPageBreak/>
        <w:t>Empfehlungen für nationale und lokale Behörden:</w:t>
      </w:r>
      <w:r>
        <w:rPr>
          <w:sz w:val="24"/>
          <w:bdr w:val="nil"/>
        </w:rPr>
        <w:t xml:space="preserve"> Eine Strategie zur Deinstitutionalisierung ist von entscheidender Bedeutung. Die Strategie muss unter anderem klären, welche Arten von Nachbarschaftseinrichtungen für Menschen mit Behinderungen benötigt werden, und Prioritäten für deren Bereitstellung setzen, zeitgebundene Ziele für die Anzahl der Personen festlegen, die innerhalb eines bestimmten Zeitraums von einer Einrichtung zu einem Nachbarschaftsdienst ihrer Wahl wechseln, ein klares Budget zur Unterstützung der Umstellung aufstellen und die Verantwortlichkeiten zuweisen. Dies sollte in enger Zusammenarbeit mit Behindertenorganisationen geschehen und sich an den Erfahrungen und Prioritäten von Menschen mit Behinderungen orientieren.</w:t>
      </w:r>
    </w:p>
    <w:p w14:paraId="1A1C6A32" w14:textId="77777777" w:rsidR="002D4FDD" w:rsidRDefault="002D4FDD" w:rsidP="002D4FDD">
      <w:pPr>
        <w:rPr>
          <w:rFonts w:cs="Arial"/>
        </w:rPr>
      </w:pPr>
    </w:p>
    <w:p w14:paraId="4F22CEC3" w14:textId="77777777" w:rsidR="002D4FDD" w:rsidRPr="00571A53" w:rsidRDefault="00624628" w:rsidP="002D4FDD">
      <w:pPr>
        <w:pStyle w:val="Titre3"/>
      </w:pPr>
      <w:bookmarkStart w:id="50" w:name="_Toc161062603"/>
      <w:r>
        <w:rPr>
          <w:bdr w:val="nil"/>
        </w:rPr>
        <w:t>Finanzen</w:t>
      </w:r>
      <w:bookmarkEnd w:id="50"/>
      <w:r>
        <w:rPr>
          <w:bdr w:val="nil"/>
        </w:rPr>
        <w:t xml:space="preserve"> </w:t>
      </w:r>
    </w:p>
    <w:p w14:paraId="0562FD70" w14:textId="77777777" w:rsidR="002D4FDD" w:rsidRPr="00FE36CA" w:rsidRDefault="00624628" w:rsidP="002D4FDD">
      <w:pPr>
        <w:pStyle w:val="Titre4"/>
      </w:pPr>
      <w:r>
        <w:rPr>
          <w:bdr w:val="nil"/>
        </w:rPr>
        <w:t>Übernahme der Kosten der Umstellung</w:t>
      </w:r>
    </w:p>
    <w:p w14:paraId="41A1690F" w14:textId="77777777" w:rsidR="009878D7" w:rsidRDefault="00624628" w:rsidP="002D4FDD">
      <w:pPr>
        <w:rPr>
          <w:rFonts w:eastAsia="Arial" w:cs="Arial"/>
          <w:sz w:val="24"/>
          <w:szCs w:val="24"/>
          <w:bdr w:val="nil"/>
        </w:rPr>
      </w:pPr>
      <w:r>
        <w:rPr>
          <w:sz w:val="24"/>
          <w:bdr w:val="nil"/>
        </w:rPr>
        <w:t xml:space="preserve">Der Übergang von Einrichtungen zu selbstbestimmtem Leben und Nachbarschaftsdienstleistungen wird mit einer Periode steigender Kosten für den Staat verbunden sein. Denn die Umstellung wird mit einer Überschneidungsphase einhergehen, in der die ersetzten Einrichtungen neben den zu ihrer Ersetzung eingerichteten Nachbarschaftsdiensten bestehen werden. Zu </w:t>
      </w:r>
    </w:p>
    <w:p w14:paraId="68484734" w14:textId="77777777" w:rsidR="009878D7" w:rsidRDefault="009878D7" w:rsidP="002D4FDD">
      <w:pPr>
        <w:rPr>
          <w:rFonts w:eastAsia="Arial" w:cs="Arial"/>
          <w:sz w:val="24"/>
          <w:szCs w:val="24"/>
          <w:bdr w:val="nil"/>
        </w:rPr>
      </w:pPr>
    </w:p>
    <w:p w14:paraId="37E07F2A" w14:textId="77777777" w:rsidR="002D4FDD" w:rsidRPr="007B6E65" w:rsidRDefault="00624628" w:rsidP="002D4FDD">
      <w:pPr>
        <w:rPr>
          <w:rFonts w:cs="Arial"/>
          <w:sz w:val="24"/>
          <w:szCs w:val="24"/>
        </w:rPr>
      </w:pPr>
      <w:r>
        <w:rPr>
          <w:sz w:val="24"/>
          <w:bdr w:val="nil"/>
        </w:rPr>
        <w:t xml:space="preserve">einem bestimmten Zeitpunkt werden also zwei parallele Systeme gleichzeitig funktionieren, wobei sich das eine vergrößert und das andere schließt. </w:t>
      </w:r>
    </w:p>
    <w:p w14:paraId="3A7B4FF7" w14:textId="77777777" w:rsidR="002D4FDD" w:rsidRPr="007B6E65" w:rsidRDefault="00624628" w:rsidP="002D4FDD">
      <w:pPr>
        <w:rPr>
          <w:rFonts w:cs="Arial"/>
          <w:sz w:val="24"/>
          <w:szCs w:val="24"/>
        </w:rPr>
      </w:pPr>
      <w:r>
        <w:rPr>
          <w:sz w:val="24"/>
          <w:bdr w:val="nil"/>
        </w:rPr>
        <w:t xml:space="preserve">Wenn sich die Bürger von den Einrichtungen entfernen, bleiben dennoch gewisse Fixkosten bestehen, die erst nach der vollständigen Schließung der Einrichtung wegfallen. Während die Betroffenen die Einrichtungen nach und nach verlassen, steigen die Betriebskosten pro Bewohner also allmählich an. Letztendlich, wenn eine angemessene Regelung für alle ehemaligen Bewohner der Einrichtung gefunden wurde, kann die Einrichtung vollständig geräumt werden und die Kosten für den Staat werden wieder sinken. Die politischen Entscheidungsträger müssen daher eine Periode steigender Kosten für die Bereitstellung von Dienstleistungen während des Übergangsprozesses vorhersehen und vorausplanen. </w:t>
      </w:r>
    </w:p>
    <w:p w14:paraId="27B78B2D" w14:textId="77777777" w:rsidR="002D4FDD" w:rsidRDefault="00624628" w:rsidP="002D4FDD">
      <w:pPr>
        <w:rPr>
          <w:rFonts w:cs="Arial"/>
          <w:sz w:val="24"/>
          <w:szCs w:val="24"/>
        </w:rPr>
      </w:pPr>
      <w:r>
        <w:rPr>
          <w:sz w:val="24"/>
          <w:bdr w:val="nil"/>
        </w:rPr>
        <w:t xml:space="preserve">Während sichergestellt wird, dass es sich bei dem Prozess tatsächlich um einen Übergang handelt, sollten die Kosten, die mit der gleichzeitigen Finanzierung von Einrichtungen und Nachbarschaftsdiensten verbunden sind, wie oben erwähnt unterstreichen, dass die Umstellung nicht lange dauern darf und proaktiv und vorrangig werden muss. </w:t>
      </w:r>
    </w:p>
    <w:p w14:paraId="47630C06" w14:textId="77777777" w:rsidR="002D4FDD" w:rsidRDefault="00624628" w:rsidP="002D4FDD">
      <w:pPr>
        <w:shd w:val="clear" w:color="auto" w:fill="D9F2D0"/>
        <w:rPr>
          <w:rFonts w:cs="Arial"/>
          <w:sz w:val="24"/>
          <w:szCs w:val="24"/>
        </w:rPr>
      </w:pPr>
      <w:r>
        <w:rPr>
          <w:b/>
          <w:bCs/>
          <w:sz w:val="24"/>
          <w:szCs w:val="24"/>
          <w:bdr w:val="nil"/>
        </w:rPr>
        <w:t>Empfehlungen für nationale und lokale Behörden</w:t>
      </w:r>
      <w:r>
        <w:rPr>
          <w:sz w:val="24"/>
          <w:bdr w:val="nil"/>
        </w:rPr>
        <w:t xml:space="preserve">: ein Budget für die erhöhten Kosten bereitstellen, die wahrscheinlich in der Übergangszeit anfallen, wenn die Einrichtungen noch parallel zu den Nachbarschaftsdiensten betrieben werden und bevor alle Bewohner der Einrichtungen eine geeignete Alternative finden konnten. </w:t>
      </w:r>
      <w:r>
        <w:rPr>
          <w:bdr w:val="nil"/>
        </w:rPr>
        <w:br/>
      </w:r>
      <w:r>
        <w:rPr>
          <w:bdr w:val="nil"/>
        </w:rPr>
        <w:br/>
      </w:r>
      <w:r>
        <w:rPr>
          <w:sz w:val="24"/>
          <w:bdr w:val="nil"/>
        </w:rPr>
        <w:lastRenderedPageBreak/>
        <w:t>Einrichtungen dürfen im Rahmen des Übergangsprozesses nicht renoviert oder neu gebaut werden. Jede weitere Investition in Einrichtungen entzieht den Nachbarschaftsdiensten Ressourcen und verzögert den Prozess weiter.</w:t>
      </w:r>
    </w:p>
    <w:p w14:paraId="3DD11161" w14:textId="77777777" w:rsidR="002D4FDD" w:rsidRPr="00C37CD8" w:rsidRDefault="002D4FDD" w:rsidP="002D4FDD">
      <w:pPr>
        <w:rPr>
          <w:highlight w:val="yellow"/>
        </w:rPr>
      </w:pPr>
    </w:p>
    <w:p w14:paraId="18948FDB" w14:textId="77777777" w:rsidR="002D4FDD" w:rsidRPr="00571A53" w:rsidRDefault="00624628" w:rsidP="002D4FDD">
      <w:pPr>
        <w:pStyle w:val="Titre4"/>
      </w:pPr>
      <w:r>
        <w:rPr>
          <w:bdr w:val="nil"/>
        </w:rPr>
        <w:t>Persönliche Budgets</w:t>
      </w:r>
    </w:p>
    <w:p w14:paraId="165F8154" w14:textId="77777777" w:rsidR="002D4FDD" w:rsidRDefault="00624628" w:rsidP="002D4FDD">
      <w:pPr>
        <w:rPr>
          <w:rFonts w:cs="Arial"/>
          <w:sz w:val="24"/>
          <w:szCs w:val="24"/>
        </w:rPr>
      </w:pPr>
      <w:r>
        <w:rPr>
          <w:sz w:val="24"/>
          <w:bdr w:val="nil"/>
        </w:rPr>
        <w:t>Persönliche Budgets für Menschen mit Behinderungen müssen stark gefördert werden. Persönliche Budgets, die direkt der Person, die auf die Dienstleistung angewiesen ist, ausgehändigt werden, ermöglichen eine größere Autonomie. Sie erweitern die Möglichkeiten der Person, die bevorzugte Dienstleistung auszuwählen und machen der persönlichen Assistenz oder dem Dienstleister deutlich, dass die Person mit Behinderungen ihr Arbeitgeber ist.</w:t>
      </w:r>
    </w:p>
    <w:p w14:paraId="68F132E7" w14:textId="77777777" w:rsidR="002D4FDD" w:rsidRDefault="00624628" w:rsidP="002D4FDD">
      <w:pPr>
        <w:rPr>
          <w:rFonts w:eastAsia="Arial" w:cs="Arial"/>
          <w:sz w:val="24"/>
          <w:szCs w:val="24"/>
          <w:bdr w:val="nil"/>
        </w:rPr>
      </w:pPr>
      <w:r>
        <w:rPr>
          <w:sz w:val="24"/>
          <w:bdr w:val="nil"/>
        </w:rPr>
        <w:t xml:space="preserve">In einigen Fällen können persönliche Budgets zur Finanzierung von Plätzen in Einrichtungen verwendet werden, z. B. weil es nicht genügend Nachbarschaftsdienstleistungen gibt oder der bereitgestellte Betrag zu gering ist, um die notwendige Unterstützung in der Gemeinschaft zu bezahlen. Um dem entgegenzuwirken, muss für eine angemessene Finanzierung gesorgt werden, es müssen finanzielle Anreize geschaffen werden, damit die Menschen die Dienste innerhalb der Gemeinschaft in Anspruch nehmen, und es muss eine Reihe von Nachbarschaftsdiensten entwickelt werden, um den unterschiedlichen Unterstützungsbedürfnissen gerecht zu werden. </w:t>
      </w:r>
    </w:p>
    <w:p w14:paraId="083ABB63" w14:textId="77777777" w:rsidR="009878D7" w:rsidRPr="00571A53" w:rsidRDefault="009878D7" w:rsidP="002D4FDD">
      <w:pPr>
        <w:rPr>
          <w:rFonts w:cs="Arial"/>
          <w:sz w:val="24"/>
          <w:szCs w:val="24"/>
        </w:rPr>
      </w:pPr>
    </w:p>
    <w:p w14:paraId="503374EB" w14:textId="77777777" w:rsidR="002D4FDD" w:rsidRDefault="00624628" w:rsidP="002D4FDD">
      <w:pPr>
        <w:shd w:val="clear" w:color="auto" w:fill="D9F2D0"/>
        <w:rPr>
          <w:rFonts w:cs="Arial"/>
          <w:sz w:val="24"/>
          <w:szCs w:val="24"/>
        </w:rPr>
      </w:pPr>
      <w:r>
        <w:rPr>
          <w:b/>
          <w:sz w:val="24"/>
          <w:bdr w:val="nil"/>
        </w:rPr>
        <w:t xml:space="preserve">Empfehlungen für nationale und lokale Behörden: </w:t>
      </w:r>
      <w:r>
        <w:rPr>
          <w:sz w:val="24"/>
          <w:bdr w:val="nil"/>
        </w:rPr>
        <w:t>persönliche Budgets als Mittel nutzen, um sicherzustellen, dass Menschen mit Behinderungen die Kontrolle darüber haben, wer ihnen Unterstützung bietet und welche Art von Dienstleistungen sie in Anspruch nehmen. Sicherstellen, dass persönliche Budgets nicht zur Finanzierung der Unterbringung in Einrichtungen verwendet werden.</w:t>
      </w:r>
    </w:p>
    <w:p w14:paraId="61193ECD" w14:textId="77777777" w:rsidR="002D4FDD" w:rsidRPr="00284394" w:rsidRDefault="00624628" w:rsidP="002D4FDD">
      <w:pPr>
        <w:shd w:val="clear" w:color="auto" w:fill="D9F2D0"/>
        <w:rPr>
          <w:rFonts w:cs="Arial"/>
          <w:sz w:val="24"/>
          <w:szCs w:val="24"/>
        </w:rPr>
      </w:pPr>
      <w:r>
        <w:rPr>
          <w:sz w:val="24"/>
          <w:bdr w:val="nil"/>
        </w:rPr>
        <w:t>Der für persönliche Budgets zugewiesene Betrag muss hoch genug sein, um die Kosten für die eigenen Bedürfnisse einer Person und die zusätzlichen Lebenshaltungskosten, die eine Behinderung mit sich bringt, zu decken. Er muss auch die Lohnkosten der persönlichen Assistenten abdecken sowie alle anderen Kosten, die mit der Einstellung von Assistenten verbunden sind, wie z. B. Versicherungen, Buchhaltungsdienste, Verwaltungskosten usw.</w:t>
      </w:r>
    </w:p>
    <w:p w14:paraId="208B19BD" w14:textId="77777777" w:rsidR="002D4FDD" w:rsidRDefault="002D4FDD" w:rsidP="002D4FDD">
      <w:pPr>
        <w:rPr>
          <w:rFonts w:cs="Arial"/>
          <w:highlight w:val="yellow"/>
        </w:rPr>
      </w:pPr>
    </w:p>
    <w:p w14:paraId="13672448" w14:textId="77777777" w:rsidR="002D4FDD" w:rsidRPr="002C584E" w:rsidRDefault="00624628" w:rsidP="002D4FDD">
      <w:pPr>
        <w:pStyle w:val="Titre4"/>
      </w:pPr>
      <w:r>
        <w:rPr>
          <w:bdr w:val="nil"/>
        </w:rPr>
        <w:t>Datenerhebung und -verfolgung</w:t>
      </w:r>
    </w:p>
    <w:p w14:paraId="76E78F9B" w14:textId="77777777" w:rsidR="002D4FDD" w:rsidRPr="002C584E" w:rsidRDefault="00624628" w:rsidP="002D4FDD">
      <w:pPr>
        <w:rPr>
          <w:rFonts w:cs="Arial"/>
          <w:sz w:val="24"/>
          <w:szCs w:val="24"/>
        </w:rPr>
      </w:pPr>
      <w:r>
        <w:rPr>
          <w:sz w:val="24"/>
          <w:bdr w:val="nil"/>
        </w:rPr>
        <w:t xml:space="preserve">Die Erhebung von Daten über Menschen mit Behinderungen, die in Einrichtungen leben, ist keine kostenlose Angelegenheit. Hierfür muss ein Budget bereitgestellt werden. Die nationalen Regierungen und/oder lokalen Behörden müssen sich realistisch darauf vorbereiten. Außerdem müssen die nationalen statistischen Ämter dabei unterstützt werden, sicherzustellen, dass sie die erforderlichen Daten regelmäßig erheben, um eine detaillierte </w:t>
      </w:r>
      <w:r>
        <w:rPr>
          <w:sz w:val="24"/>
          <w:bdr w:val="nil"/>
        </w:rPr>
        <w:lastRenderedPageBreak/>
        <w:t>Überwachung der Einhaltung der Rechte von Menschen mit Behinderungen in dem jeweiligen Land zu ermöglichen.</w:t>
      </w:r>
    </w:p>
    <w:p w14:paraId="2C7D2904" w14:textId="77777777" w:rsidR="002D4FDD" w:rsidRPr="00571A53" w:rsidRDefault="00624628" w:rsidP="002D4FDD">
      <w:pPr>
        <w:rPr>
          <w:rFonts w:cs="Arial"/>
          <w:sz w:val="24"/>
          <w:szCs w:val="24"/>
        </w:rPr>
      </w:pPr>
      <w:r>
        <w:rPr>
          <w:sz w:val="24"/>
          <w:bdr w:val="nil"/>
        </w:rPr>
        <w:t xml:space="preserve">Die Überwachung erfordert eine Investition. Wenn von zivilgesellschaftlichen Organisationen erwartet wird, dass sie beobachten und darüber berichten, wie staatliche und EU-Gelder investiert werden, müssen sie für die entscheidende Rolle, die sie spielen, finanziell unterstützt werden. </w:t>
      </w:r>
    </w:p>
    <w:p w14:paraId="589B5418" w14:textId="77777777" w:rsidR="002D4FDD" w:rsidRPr="002C584E" w:rsidRDefault="00624628" w:rsidP="002D4FDD">
      <w:pPr>
        <w:shd w:val="clear" w:color="auto" w:fill="D9F2D0"/>
        <w:rPr>
          <w:rFonts w:cs="Arial"/>
          <w:sz w:val="24"/>
          <w:szCs w:val="24"/>
        </w:rPr>
      </w:pPr>
      <w:r>
        <w:rPr>
          <w:b/>
          <w:sz w:val="24"/>
          <w:bdr w:val="nil"/>
        </w:rPr>
        <w:t xml:space="preserve">Empfehlungen für nationale und lokale Behörden: </w:t>
      </w:r>
      <w:r>
        <w:rPr>
          <w:sz w:val="24"/>
          <w:szCs w:val="24"/>
          <w:bdr w:val="nil"/>
        </w:rPr>
        <w:t>Ein ausreichendes Budget bereitstellen, um die Erhebung von Daten über Menschen, die in Einrichtungen leben, zu ermöglichen, und um Organisationen zu unterstützen, die den Prozess der Deinstitutionalisierung verfolgen.</w:t>
      </w:r>
    </w:p>
    <w:p w14:paraId="59F60E29" w14:textId="77777777" w:rsidR="002D4FDD" w:rsidRPr="002C584E" w:rsidRDefault="002D4FDD" w:rsidP="002D4FDD"/>
    <w:p w14:paraId="4F8A14E2" w14:textId="77777777" w:rsidR="002D4FDD" w:rsidRDefault="00624628" w:rsidP="002D4FDD">
      <w:pPr>
        <w:pStyle w:val="Titre4"/>
      </w:pPr>
      <w:r>
        <w:rPr>
          <w:bdr w:val="nil"/>
        </w:rPr>
        <w:t xml:space="preserve">Organisationen von Menschen mit Behinderungen unterstützen </w:t>
      </w:r>
    </w:p>
    <w:p w14:paraId="7F5001B5" w14:textId="77777777" w:rsidR="002D4FDD" w:rsidRDefault="00624628" w:rsidP="002D4FDD">
      <w:pPr>
        <w:rPr>
          <w:rFonts w:cs="Arial"/>
          <w:sz w:val="24"/>
          <w:szCs w:val="24"/>
        </w:rPr>
      </w:pPr>
      <w:r>
        <w:rPr>
          <w:sz w:val="24"/>
          <w:bdr w:val="nil"/>
        </w:rPr>
        <w:t xml:space="preserve">Die Überwachung des Übergangs von Einrichtungen zu einem selbstbestimmten Leben und der Einbeziehung in die Gemeinschaft ist bei weitem nicht die einzige Rolle, die Behindertenorganisationen spielen. </w:t>
      </w:r>
    </w:p>
    <w:p w14:paraId="3B5E7444" w14:textId="77777777" w:rsidR="002D4FDD" w:rsidRDefault="00624628" w:rsidP="002D4FDD">
      <w:pPr>
        <w:rPr>
          <w:rFonts w:cs="Arial"/>
          <w:sz w:val="24"/>
          <w:szCs w:val="24"/>
        </w:rPr>
      </w:pPr>
      <w:r>
        <w:rPr>
          <w:sz w:val="24"/>
          <w:bdr w:val="nil"/>
        </w:rPr>
        <w:t xml:space="preserve">Diese Organisationen stehen oft an vorderster Front, wenn es darum geht, ein selbstbestimmtes Leben zu ermöglichen. Sie helfen dabei, politische Entscheidungsträger zu beraten, wie Dienstleistungen gestaltet werden können, die den Bedürfnissen von Menschen mit Behinderungen gerecht werden. Häufig stellen sie auch die Hilfsdienste bereit. Sie können zur Ausbildung von persönlichen Assistenten beitragen, ehemalige Bewohner von Einrichtungen in das Leben in der Gesellschaft begleiten, Familien unterstützen usw. </w:t>
      </w:r>
    </w:p>
    <w:p w14:paraId="319F23C1" w14:textId="77777777" w:rsidR="009878D7" w:rsidRDefault="009878D7" w:rsidP="002D4FDD">
      <w:pPr>
        <w:rPr>
          <w:rFonts w:eastAsia="Arial" w:cs="Arial"/>
          <w:sz w:val="24"/>
          <w:szCs w:val="24"/>
          <w:bdr w:val="nil"/>
        </w:rPr>
      </w:pPr>
    </w:p>
    <w:p w14:paraId="412B6ECB" w14:textId="77777777" w:rsidR="009878D7" w:rsidRDefault="009878D7" w:rsidP="002D4FDD">
      <w:pPr>
        <w:rPr>
          <w:rFonts w:eastAsia="Arial" w:cs="Arial"/>
          <w:sz w:val="24"/>
          <w:szCs w:val="24"/>
          <w:bdr w:val="nil"/>
        </w:rPr>
      </w:pPr>
    </w:p>
    <w:p w14:paraId="3A4626C1" w14:textId="77777777" w:rsidR="002D4FDD" w:rsidRDefault="00624628" w:rsidP="002D4FDD">
      <w:pPr>
        <w:rPr>
          <w:rFonts w:cs="Arial"/>
          <w:sz w:val="24"/>
          <w:szCs w:val="24"/>
        </w:rPr>
      </w:pPr>
      <w:r>
        <w:rPr>
          <w:sz w:val="24"/>
          <w:bdr w:val="nil"/>
        </w:rPr>
        <w:t xml:space="preserve">Mit anderen Worten: Ohne die Behindertenorganisationen würde der Übergang von Einrichtungen zu einem selbstbestimmten Leben nicht stattfinden. Um diese unzähligen Aufgaben erfüllen zu können, müssen diese Organisationen finanziell unterstützt werden. Diese Finanzierung muss langfristig angelegt sein. Organisationen, die einen so wesentlichen Zweck erfüllen, sollten nicht gezwungen sein, unnötig Zeit und Energie in Fundraising-Aktivitäten zu investieren, während sie sich auf ihre grundlegenden Ziele konzentrieren könnten. </w:t>
      </w:r>
    </w:p>
    <w:p w14:paraId="30499F1E" w14:textId="77777777" w:rsidR="002D4FDD" w:rsidRDefault="00624628" w:rsidP="002D4FDD">
      <w:pPr>
        <w:shd w:val="clear" w:color="auto" w:fill="D9F2D0"/>
        <w:rPr>
          <w:rFonts w:cs="Arial"/>
          <w:sz w:val="24"/>
          <w:szCs w:val="24"/>
        </w:rPr>
      </w:pPr>
      <w:r>
        <w:rPr>
          <w:b/>
          <w:sz w:val="24"/>
          <w:bdr w:val="nil"/>
        </w:rPr>
        <w:t xml:space="preserve">Empfehlungen für nationale und lokale Behörden: </w:t>
      </w:r>
      <w:r>
        <w:rPr>
          <w:sz w:val="24"/>
          <w:bdr w:val="nil"/>
        </w:rPr>
        <w:t>ausreichende und langfristige finanzielle Unterstützung für Organisationen von Menschen mit Behinderungen bereitstellen, damit diese weiterhin ihre zentrale Rolle bei der Unterstützung eines selbstbestimmten Lebens und der Einbeziehung in die Gemeinschaft spielen können.</w:t>
      </w:r>
    </w:p>
    <w:p w14:paraId="136A160C" w14:textId="77777777" w:rsidR="002D4FDD" w:rsidRPr="00157934" w:rsidRDefault="00624628" w:rsidP="002D4FDD">
      <w:pPr>
        <w:shd w:val="clear" w:color="auto" w:fill="D9F2D0"/>
        <w:rPr>
          <w:rFonts w:cs="Arial"/>
          <w:sz w:val="24"/>
          <w:szCs w:val="24"/>
        </w:rPr>
      </w:pPr>
      <w:r>
        <w:rPr>
          <w:sz w:val="24"/>
          <w:bdr w:val="nil"/>
        </w:rPr>
        <w:t>Zentren für selbstbestimmtes Leben einrichten, die von Behindertenorganisationen geleitet werden und deren Aufgabe es ist, den Übergang zwischen Einrichtungen und Nachbarschaftsdiensten zu erleichtern.</w:t>
      </w:r>
    </w:p>
    <w:p w14:paraId="67DC7D29" w14:textId="77777777" w:rsidR="002D4FDD" w:rsidRDefault="002D4FDD" w:rsidP="002D4FDD">
      <w:pPr>
        <w:rPr>
          <w:rFonts w:cs="Arial"/>
          <w:highlight w:val="yellow"/>
        </w:rPr>
      </w:pPr>
    </w:p>
    <w:p w14:paraId="10BA6D95" w14:textId="77777777" w:rsidR="002D4FDD" w:rsidRDefault="00624628" w:rsidP="002D4FDD">
      <w:pPr>
        <w:pStyle w:val="Titre4"/>
      </w:pPr>
      <w:r>
        <w:rPr>
          <w:bdr w:val="nil"/>
        </w:rPr>
        <w:t>Ausschöpfung der Möglichkeiten der EU-Finanzierung</w:t>
      </w:r>
    </w:p>
    <w:p w14:paraId="5B0A9EE1" w14:textId="77777777" w:rsidR="002D4FDD" w:rsidRDefault="00624628" w:rsidP="002D4FDD">
      <w:pPr>
        <w:rPr>
          <w:rFonts w:cs="Arial"/>
          <w:sz w:val="24"/>
          <w:szCs w:val="24"/>
        </w:rPr>
      </w:pPr>
      <w:r>
        <w:rPr>
          <w:sz w:val="24"/>
          <w:bdr w:val="nil"/>
        </w:rPr>
        <w:t>Die Finanzierung der oben genannten Maßnahmen darf nicht ausschließlich auf den nationalen Haushalten beruhen. Auch die europäische Finanzierung kann zur Realisierung beitragen. Um die Auswahl von Aktivitäten, die den Bedürfnissen von Menschen mit Behinderungen gerecht werden, zu verbessern, ist es von entscheidender Bedeutung, dass die Verwaltungsbehörden der Mitgliedstaaten Behindertenorganisationen in den Partnerschaftsprozess einbeziehen und ihnen ein Mitspracherecht bei der Zuweisung der Mittel einräumen.</w:t>
      </w:r>
    </w:p>
    <w:p w14:paraId="417E0EF5" w14:textId="77777777" w:rsidR="002D4FDD" w:rsidRDefault="00624628" w:rsidP="002D4FDD">
      <w:pPr>
        <w:rPr>
          <w:rFonts w:cs="Arial"/>
          <w:sz w:val="24"/>
          <w:szCs w:val="24"/>
        </w:rPr>
      </w:pPr>
      <w:r>
        <w:rPr>
          <w:sz w:val="24"/>
          <w:bdr w:val="nil"/>
        </w:rPr>
        <w:t xml:space="preserve">Bei Bedarf kann es sinnvoll sein, das </w:t>
      </w:r>
      <w:hyperlink r:id="rId30" w:history="1">
        <w:r>
          <w:rPr>
            <w:color w:val="0000FF"/>
            <w:sz w:val="24"/>
            <w:u w:val="single"/>
            <w:bdr w:val="nil"/>
          </w:rPr>
          <w:t>Instrument der technischen Unterstützung der EU</w:t>
        </w:r>
      </w:hyperlink>
      <w:r>
        <w:rPr>
          <w:sz w:val="24"/>
          <w:bdr w:val="nil"/>
        </w:rPr>
        <w:t xml:space="preserve"> für die Ausarbeitung von Reformen der Dienstleistungserbringung zu nutzen. Sie ist ein den EU-Mitgliedstaaten zur Verfügung stehendes Instrument, das einen Unterschied machen kann, indem es sicherstellt, dass die Reformen ihr Ziel erreichen.</w:t>
      </w:r>
    </w:p>
    <w:p w14:paraId="1C109217" w14:textId="77777777" w:rsidR="002D4FDD" w:rsidRPr="007D577D" w:rsidRDefault="00624628" w:rsidP="002D4FDD">
      <w:pPr>
        <w:shd w:val="clear" w:color="auto" w:fill="D9F2D0"/>
        <w:rPr>
          <w:rFonts w:cs="Arial"/>
          <w:highlight w:val="yellow"/>
        </w:rPr>
      </w:pPr>
      <w:r>
        <w:rPr>
          <w:b/>
          <w:bCs/>
          <w:sz w:val="24"/>
          <w:szCs w:val="24"/>
          <w:bdr w:val="nil"/>
        </w:rPr>
        <w:t xml:space="preserve">Empfehlungen für nationale und lokale Behörden: </w:t>
      </w:r>
      <w:r>
        <w:rPr>
          <w:sz w:val="24"/>
          <w:bdr w:val="nil"/>
        </w:rPr>
        <w:t xml:space="preserve">die verfügbaren EU-Mittel in Maßnahmen leiten, die ein selbstbestimmtes Leben und die Einbeziehung von Menschen mit Behinderungen in die Gemeinschaft fördern. Sicherstellen, dass die Verwaltungsbehörden, die die Verwendung von EU-Mitteln überwachen, Behindertenorganisationen als Partner (gemäß dem </w:t>
      </w:r>
      <w:hyperlink r:id="rId31" w:history="1">
        <w:r>
          <w:rPr>
            <w:color w:val="0000FF"/>
            <w:sz w:val="24"/>
            <w:u w:val="single"/>
            <w:bdr w:val="nil"/>
          </w:rPr>
          <w:t>Partnerschaftsprinzip in Artikel 8 der Verordnung mit gemeinsamen Bestimmungen</w:t>
        </w:r>
      </w:hyperlink>
      <w:r>
        <w:rPr>
          <w:sz w:val="24"/>
          <w:bdr w:val="nil"/>
        </w:rPr>
        <w:t xml:space="preserve">) in allen Phasen der Verwendung von EU-Mitteln (Programmplanung, Umsetzung, Monitoring und Evaluierung) vollständig und maßgeblich einbeziehen. </w:t>
      </w:r>
      <w:r>
        <w:rPr>
          <w:sz w:val="24"/>
          <w:szCs w:val="24"/>
          <w:bdr w:val="nil"/>
        </w:rPr>
        <w:br/>
      </w:r>
      <w:r>
        <w:rPr>
          <w:sz w:val="24"/>
          <w:szCs w:val="24"/>
          <w:bdr w:val="nil"/>
        </w:rPr>
        <w:br/>
      </w:r>
      <w:r>
        <w:rPr>
          <w:sz w:val="24"/>
          <w:bdr w:val="nil"/>
        </w:rPr>
        <w:t>Rückgriff auf das EU-Instrument für technische Unterstützung, wenn externe Beratung oder Fachwissen für Reformen benötigt wird, wobei die volle Beteiligung von Menschen mit Behinderungen und ihren Organisationen sichergestellt werden muss.</w:t>
      </w:r>
    </w:p>
    <w:p w14:paraId="42C141F7" w14:textId="77777777" w:rsidR="002D4FDD" w:rsidRPr="007D577D" w:rsidRDefault="002D4FDD" w:rsidP="002D4FDD">
      <w:pPr>
        <w:rPr>
          <w:rFonts w:cs="Arial"/>
          <w:highlight w:val="yellow"/>
        </w:rPr>
      </w:pPr>
    </w:p>
    <w:p w14:paraId="0B0C70C2" w14:textId="77777777" w:rsidR="002D4FDD" w:rsidRPr="003B1329" w:rsidRDefault="00624628" w:rsidP="002D4FDD">
      <w:pPr>
        <w:pStyle w:val="Titre3"/>
      </w:pPr>
      <w:bookmarkStart w:id="51" w:name="_Toc161062604"/>
      <w:r>
        <w:rPr>
          <w:bdr w:val="nil"/>
        </w:rPr>
        <w:t>Entscheidungsfreiheit und Rechtsfähigkeit</w:t>
      </w:r>
      <w:bookmarkEnd w:id="51"/>
    </w:p>
    <w:p w14:paraId="774E75A6" w14:textId="77777777" w:rsidR="002D4FDD" w:rsidRDefault="00624628" w:rsidP="002D4FDD">
      <w:pPr>
        <w:rPr>
          <w:rFonts w:cs="Arial"/>
          <w:sz w:val="24"/>
          <w:szCs w:val="24"/>
        </w:rPr>
      </w:pPr>
      <w:r>
        <w:rPr>
          <w:sz w:val="24"/>
          <w:bdr w:val="nil"/>
        </w:rPr>
        <w:t xml:space="preserve">Menschen mit Behinderungen müssen in der Lage sein, ihre Rechtsfähigkeit zu behalten. Sie müssen in der Lage sein, ihre Rechtsfähigkeit auszuüben, indem sie die Bereitstellung der Gemeinschaftshilfe auswählen, verwalten und beenden. Für bestimmte Personen kann es notwendig sein, Unterstützung bei der Ausübung der Rechtsfähigkeit durch eine unterstützte Entscheidungsfindung anzubieten. Diese Dienstleistung muss den Betroffenen zur Verfügung gestellt werden. </w:t>
      </w:r>
    </w:p>
    <w:p w14:paraId="180463D5" w14:textId="77777777" w:rsidR="002D4FDD" w:rsidRPr="00C53240" w:rsidRDefault="00624628" w:rsidP="002D4FDD">
      <w:pPr>
        <w:rPr>
          <w:rFonts w:cs="Arial"/>
          <w:sz w:val="24"/>
          <w:szCs w:val="24"/>
        </w:rPr>
      </w:pPr>
      <w:r>
        <w:rPr>
          <w:sz w:val="24"/>
          <w:bdr w:val="nil"/>
        </w:rPr>
        <w:t>Die Rechtsfähigkeit ist nicht nur wichtig, wenn es darum geht, das letzte Wort darüber zu haben, welche Art von Dienstleistungen oder Unterstützung in Anspruch genommen werden soll. Es ist auch eine gesetzliche Anforderung für viele andere sozioökonomische Rechte, die ein selbstbestimmtes Leben erleichtern, wie z. B. Beschäftigung und Mietkontakte sowie Fragen, die den Familienstand einer Person betreffen.</w:t>
      </w:r>
    </w:p>
    <w:p w14:paraId="7B76A609" w14:textId="77777777" w:rsidR="002D4FDD" w:rsidRDefault="00624628" w:rsidP="002D4FDD">
      <w:pPr>
        <w:shd w:val="clear" w:color="auto" w:fill="D9F2D0"/>
        <w:rPr>
          <w:rFonts w:cs="Arial"/>
          <w:sz w:val="24"/>
          <w:szCs w:val="24"/>
        </w:rPr>
      </w:pPr>
      <w:r>
        <w:rPr>
          <w:b/>
          <w:sz w:val="24"/>
          <w:bdr w:val="nil"/>
        </w:rPr>
        <w:lastRenderedPageBreak/>
        <w:t xml:space="preserve">Empfehlungen für nationale und lokale Behörden: </w:t>
      </w:r>
      <w:r>
        <w:rPr>
          <w:sz w:val="24"/>
          <w:szCs w:val="24"/>
          <w:bdr w:val="nil"/>
        </w:rPr>
        <w:t>Selbstbestimmtes Leben und das Recht auf Entscheidungsfreiheit verwirklichen, indem Einschränkungen der Geschäftsfähigkeit abgeschafft und durch eine unterstützte Entscheidungsfindung ersetzt werden.</w:t>
      </w:r>
    </w:p>
    <w:p w14:paraId="11CCA84D" w14:textId="77777777" w:rsidR="002D4FDD" w:rsidRDefault="002D4FDD" w:rsidP="002D4FDD">
      <w:pPr>
        <w:rPr>
          <w:rFonts w:cs="Arial"/>
          <w:sz w:val="24"/>
          <w:szCs w:val="24"/>
        </w:rPr>
      </w:pPr>
    </w:p>
    <w:p w14:paraId="73613D5A" w14:textId="77777777" w:rsidR="002D4FDD" w:rsidRDefault="00624628" w:rsidP="002D4FDD">
      <w:pPr>
        <w:pStyle w:val="Titre3"/>
      </w:pPr>
      <w:bookmarkStart w:id="52" w:name="_Toc161062605"/>
      <w:r>
        <w:rPr>
          <w:bdr w:val="nil"/>
        </w:rPr>
        <w:t>Beurteilung der Behinderung</w:t>
      </w:r>
      <w:bookmarkEnd w:id="52"/>
      <w:r>
        <w:rPr>
          <w:bdr w:val="nil"/>
        </w:rPr>
        <w:t xml:space="preserve"> </w:t>
      </w:r>
    </w:p>
    <w:p w14:paraId="747BAC6A" w14:textId="77777777" w:rsidR="002D4FDD" w:rsidRPr="007B6E65" w:rsidRDefault="00624628" w:rsidP="002D4FDD">
      <w:pPr>
        <w:rPr>
          <w:rFonts w:cs="Arial"/>
          <w:sz w:val="24"/>
          <w:szCs w:val="24"/>
        </w:rPr>
      </w:pPr>
      <w:r>
        <w:rPr>
          <w:sz w:val="24"/>
          <w:bdr w:val="nil"/>
        </w:rPr>
        <w:t>Die Berechtigung zur Inanspruchnahme von Hilfsdiensten kann mit der Einschätzung der Behinderung einer Person verknüpft sein. Daher ist es von entscheidender Bedeutung, dass die Beurteilung einer Behinderung über den Zustand der Person hinausgeht und die tatsächlichen Hindernisse berücksichtigt, mit denen sie in ihrem Leben als Person mit Behinderung konfrontiert ist. In diesem Sinne muss die Beurteilung einer Behinderung auch eine genaue Beurteilung der Bedürfnisse jedes Einzelnen umfassen. Sie muss sich auf den Grad der Unterstützung und die Art der Hilfe konzentrieren, die eine Person wahrscheinlich benötigt, um ein selbstbestimmtes Leben in der Gemeinschaft führen zu können.</w:t>
      </w:r>
    </w:p>
    <w:p w14:paraId="47924F20" w14:textId="77777777" w:rsidR="002D4FDD" w:rsidRPr="008566B9" w:rsidRDefault="00624628" w:rsidP="002D4FDD">
      <w:pPr>
        <w:rPr>
          <w:rFonts w:cs="Arial"/>
          <w:sz w:val="24"/>
          <w:szCs w:val="24"/>
        </w:rPr>
      </w:pPr>
      <w:r>
        <w:rPr>
          <w:sz w:val="24"/>
          <w:bdr w:val="nil"/>
        </w:rPr>
        <w:t xml:space="preserve">Persönliche Umstände, die zu zusätzlichen Barrieren führen könnten, müssen ebenfalls berücksichtigt werden, und die Person mit Behinderung muss in diese Bewertung voll einbezogen werden. Beispielsweise muss die Höhe der Beihilfe, die einer Person mit Behinderung gewährt wird, die Lebenshaltungskosten an ihrem Wohnort berücksichtigen. Zusätzliche Unterstützung muss auch Personen angeboten werden, die in Regionen mit begrenztem Dienstleistungsangebot leben. </w:t>
      </w:r>
    </w:p>
    <w:p w14:paraId="52F258C3" w14:textId="77777777" w:rsidR="002D4FDD" w:rsidRDefault="00624628" w:rsidP="002D4FDD">
      <w:pPr>
        <w:shd w:val="clear" w:color="auto" w:fill="D9F2D0"/>
        <w:rPr>
          <w:rFonts w:cs="Arial"/>
          <w:sz w:val="24"/>
          <w:szCs w:val="24"/>
        </w:rPr>
      </w:pPr>
      <w:r>
        <w:rPr>
          <w:b/>
          <w:sz w:val="24"/>
          <w:bdr w:val="nil"/>
        </w:rPr>
        <w:t xml:space="preserve">Empfehlungen für nationale und lokale Behörden: </w:t>
      </w:r>
      <w:r>
        <w:rPr>
          <w:sz w:val="24"/>
          <w:bdr w:val="nil"/>
        </w:rPr>
        <w:t>Aufnahme einer detaillierten Bedarfsermittlung in die Verfahren zur Feststellung der Behinderung. Bei der Bedarfsermittlung soll festgestellt werden, mit welchen individuellen Hindernissen eine Person konfrontiert ist und welche Unterstützung sie benötigt, um ein selbstbestimmtes Leben zu führen. Sie muss ihre individuelle Situation berücksichtigen und darf nicht nur mit der Art ihrer Behinderung zusammenhängen. Menschen mit Behinderungen müssen in den Prozess der Analyse ihrer individuellen Bedürfnisse einbezogen werden.</w:t>
      </w:r>
    </w:p>
    <w:p w14:paraId="36441E63" w14:textId="77777777" w:rsidR="002D4FDD" w:rsidRDefault="002D4FDD" w:rsidP="002D4FDD">
      <w:pPr>
        <w:rPr>
          <w:rFonts w:cs="Arial"/>
          <w:sz w:val="24"/>
          <w:szCs w:val="24"/>
        </w:rPr>
      </w:pPr>
      <w:r>
        <w:rPr>
          <w:sz w:val="24"/>
        </w:rPr>
        <w:t xml:space="preserve"> </w:t>
      </w:r>
    </w:p>
    <w:p w14:paraId="6E4E84DE" w14:textId="77777777" w:rsidR="002D4FDD" w:rsidRDefault="00624628" w:rsidP="002D4FDD">
      <w:pPr>
        <w:pStyle w:val="Titre3"/>
      </w:pPr>
      <w:bookmarkStart w:id="53" w:name="_Toc161062606"/>
      <w:r>
        <w:rPr>
          <w:bdr w:val="nil"/>
        </w:rPr>
        <w:t>Öffentliche Aufträge</w:t>
      </w:r>
      <w:bookmarkEnd w:id="53"/>
      <w:r>
        <w:rPr>
          <w:bdr w:val="nil"/>
        </w:rPr>
        <w:t xml:space="preserve"> </w:t>
      </w:r>
    </w:p>
    <w:p w14:paraId="554C2EBC" w14:textId="77777777" w:rsidR="002D4FDD" w:rsidRDefault="00624628" w:rsidP="002D4FDD">
      <w:pPr>
        <w:rPr>
          <w:rFonts w:cs="Arial"/>
          <w:sz w:val="24"/>
          <w:szCs w:val="24"/>
        </w:rPr>
      </w:pPr>
      <w:r>
        <w:rPr>
          <w:sz w:val="24"/>
          <w:bdr w:val="nil"/>
        </w:rPr>
        <w:t xml:space="preserve">Die öffentliche Auftragsvergabe als Modell für die Auswahl von Dienstleistungen kann Probleme verursachen. Dies gilt umso mehr, als der Preis als Kriterium für die Vergabe eines Dienstleistungsvertrags fast immer Vorrang vor der Qualität hat. Die Regelmäßigkeit von Vertragsneuverhandlungen führt auch zu einem kurzfristigen Ansatz und bedeutet, dass Menschen mit Behinderungen, die die Dienstleistung in Anspruch nehmen, sich an häufige Änderungen bei der Person, die die Dienstleistung erbringt, und bei der Art und Weise, wie sie erbracht wird, anpassen müssen. Diese Situation destabilisiert das Leben der Einzelnen und nimmt ihnen die Möglichkeit, die Person zu wählen, die ihnen am besten Unterstützung bieten kann. </w:t>
      </w:r>
    </w:p>
    <w:p w14:paraId="66A9C653" w14:textId="77777777" w:rsidR="002D4FDD" w:rsidRPr="00AE6A29" w:rsidRDefault="00624628" w:rsidP="002D4FDD">
      <w:pPr>
        <w:rPr>
          <w:rFonts w:cs="Arial"/>
          <w:sz w:val="24"/>
          <w:szCs w:val="24"/>
        </w:rPr>
      </w:pPr>
      <w:r>
        <w:rPr>
          <w:sz w:val="24"/>
          <w:bdr w:val="nil"/>
        </w:rPr>
        <w:lastRenderedPageBreak/>
        <w:t xml:space="preserve">Versuche, öffentliche Aufträge an Qualitätskriterien zu binden, können sich als schwierig und ineffektiv erweisen. Die Wahl des besten Dienstleisters für eine Person mit Behinderung beruht auf persönlichen Bedürfnissen und Vorlieben und kann nicht anhand einer Liste mit einheitlichen Kriterien gemessen werden. Häufig werden individuelle Bedürfnisse und Bestrebungen bei der öffentlichen Auftragsvergabe nicht berücksichtigt. Das Verfahren ist eher für große Personengruppen konzipiert. Dieses System eignet sich nicht gut für die Grundsätze des selbstbestimmten Lebens und der Einbeziehung in die Gemeinschaft. </w:t>
      </w:r>
    </w:p>
    <w:p w14:paraId="1A2A4ACD" w14:textId="77777777" w:rsidR="002D4FDD" w:rsidRPr="00E730A0" w:rsidRDefault="00624628" w:rsidP="002D4FDD">
      <w:pPr>
        <w:shd w:val="clear" w:color="auto" w:fill="D9F2D0"/>
        <w:rPr>
          <w:rFonts w:cs="Arial"/>
          <w:sz w:val="24"/>
          <w:szCs w:val="24"/>
        </w:rPr>
      </w:pPr>
      <w:r>
        <w:rPr>
          <w:b/>
          <w:sz w:val="24"/>
          <w:bdr w:val="nil"/>
        </w:rPr>
        <w:t xml:space="preserve">Empfehlungen für nationale und lokale Behörden: </w:t>
      </w:r>
      <w:r>
        <w:rPr>
          <w:sz w:val="24"/>
          <w:szCs w:val="24"/>
          <w:bdr w:val="nil"/>
        </w:rPr>
        <w:t>alternative Finanzierungsmodelle zur öffentlichen Auftragsvergabe ermitteln, die die Bedürfnisse und Präferenzen von Menschen mit Behinderungen umfassend berücksichtigen.</w:t>
      </w:r>
    </w:p>
    <w:p w14:paraId="63845C7C" w14:textId="77777777" w:rsidR="002D4FDD" w:rsidRPr="007B6E65" w:rsidRDefault="002D4FDD" w:rsidP="002D4FDD">
      <w:pPr>
        <w:rPr>
          <w:rFonts w:cs="Arial"/>
          <w:sz w:val="24"/>
          <w:szCs w:val="24"/>
        </w:rPr>
      </w:pPr>
      <w:r>
        <w:rPr>
          <w:sz w:val="24"/>
        </w:rPr>
        <w:t xml:space="preserve">  </w:t>
      </w:r>
    </w:p>
    <w:p w14:paraId="67DCDBDC" w14:textId="77777777" w:rsidR="002D4FDD" w:rsidRDefault="00624628" w:rsidP="002D4FDD">
      <w:pPr>
        <w:pStyle w:val="Titre3"/>
      </w:pPr>
      <w:bookmarkStart w:id="54" w:name="_Toc161062607"/>
      <w:r>
        <w:rPr>
          <w:bdr w:val="nil"/>
        </w:rPr>
        <w:t>Deinstitutionalisierung und selbstbestimmtes Leben als Geschlechterfrage anerkennen</w:t>
      </w:r>
      <w:bookmarkEnd w:id="54"/>
    </w:p>
    <w:p w14:paraId="1EEB6675" w14:textId="77777777" w:rsidR="002D4FDD" w:rsidRPr="00B26620" w:rsidRDefault="00624628" w:rsidP="002D4FDD">
      <w:pPr>
        <w:rPr>
          <w:rFonts w:cs="Arial"/>
          <w:sz w:val="24"/>
          <w:szCs w:val="24"/>
        </w:rPr>
      </w:pPr>
      <w:r>
        <w:rPr>
          <w:sz w:val="24"/>
          <w:bdr w:val="nil"/>
        </w:rPr>
        <w:t>Die Geschlechterperspektive muss im Mittelpunkt der Maßnahmen und Strategien zur Förderung eines selbstbestimmten Lebens und der Deinstitutionalisierung stehen. Die Frage der Pflege und Betreuung betrifft Frauen in mehrfacher Hinsicht anders als Männer.</w:t>
      </w:r>
    </w:p>
    <w:p w14:paraId="47C660AF" w14:textId="77777777" w:rsidR="0083170B" w:rsidRDefault="009878D7" w:rsidP="002D4FDD">
      <w:pPr>
        <w:rPr>
          <w:rFonts w:eastAsia="Arial" w:cs="Arial"/>
          <w:sz w:val="24"/>
          <w:szCs w:val="24"/>
          <w:bdr w:val="nil"/>
        </w:rPr>
      </w:pPr>
      <w:r>
        <w:rPr>
          <w:sz w:val="24"/>
          <w:bdr w:val="nil"/>
        </w:rPr>
        <w:t xml:space="preserve">Erstens übernehmen Frauen eher informelle Betreuungsrollen, sei es für ein Kind mit einer Behinderung, einen Elternteil, einen Partner oder einen anderen geschätzten Menschen. Die informelle Pflege ist häufig eine Vollzeitbeschäftigung, die mit wenig oder gar keinem finanziellen Ausgleich durch den Staat ausgeführt wird und der pflegenden Person nur wenige Möglichkeiten bietet, ihren Lebensunterhalt durch bezahlte Arbeit zu verdienen. Dies kann erhebliche Auswirkungen auf das materielle Wohlergehen von Familien und insbesondere von Frauen haben, die meist direkt in solche Situationen geraten. Es hat nicht nur Auswirkungen auf ihr materielles Wohlergehen und ihre Fähigkeit, das Armutsrisiko in der unmittelbaren Zukunft zu vermeiden, sondern auch weitreichende Folgen </w:t>
      </w:r>
    </w:p>
    <w:p w14:paraId="2077ECAC" w14:textId="77777777" w:rsidR="0083170B" w:rsidRDefault="0083170B" w:rsidP="002D4FDD">
      <w:pPr>
        <w:rPr>
          <w:rFonts w:eastAsia="Arial" w:cs="Arial"/>
          <w:sz w:val="24"/>
          <w:szCs w:val="24"/>
          <w:bdr w:val="nil"/>
        </w:rPr>
      </w:pPr>
    </w:p>
    <w:p w14:paraId="33BF46D2" w14:textId="77777777" w:rsidR="0083170B" w:rsidRDefault="0083170B" w:rsidP="002D4FDD">
      <w:pPr>
        <w:rPr>
          <w:rFonts w:eastAsia="Arial" w:cs="Arial"/>
          <w:sz w:val="24"/>
          <w:szCs w:val="24"/>
          <w:bdr w:val="nil"/>
        </w:rPr>
      </w:pPr>
    </w:p>
    <w:p w14:paraId="4C0CB2F1" w14:textId="77777777" w:rsidR="002D4FDD" w:rsidRPr="00B26620" w:rsidRDefault="00624628" w:rsidP="002D4FDD">
      <w:pPr>
        <w:rPr>
          <w:rFonts w:cs="Arial"/>
          <w:sz w:val="24"/>
          <w:szCs w:val="24"/>
        </w:rPr>
      </w:pPr>
      <w:r>
        <w:rPr>
          <w:sz w:val="24"/>
          <w:bdr w:val="nil"/>
        </w:rPr>
        <w:t xml:space="preserve">für die Rentenansprüche im späteren Leben. Die Tätigkeit als informeller Helfer kann daher zu einem Leben in materieller Unsicherheit führen. </w:t>
      </w:r>
    </w:p>
    <w:p w14:paraId="1E399A6D" w14:textId="77777777" w:rsidR="002D4FDD" w:rsidRPr="00B26620" w:rsidRDefault="00624628" w:rsidP="002D4FDD">
      <w:pPr>
        <w:rPr>
          <w:rFonts w:cs="Arial"/>
          <w:sz w:val="24"/>
          <w:szCs w:val="24"/>
        </w:rPr>
      </w:pPr>
      <w:r>
        <w:rPr>
          <w:sz w:val="24"/>
          <w:bdr w:val="nil"/>
        </w:rPr>
        <w:t xml:space="preserve">Informelle Betreuung kann neben der Beeinträchtigung der finanziellen Situation noch viele weitere Auswirkungen auf eine Person haben. Unterstützung zu bieten kann körperlich und geistig fordernd sein. Im Gegensatz zu bezahlten Helfern wird ein informeller Helfer höchstwahrscheinlich rund um die Uhr zur Verfügung stehen, ohne eine festgelegte Ruhepause. Auch übernimmt eine Person eine solche Rolle wahrscheinlich ihr ganzes Leben lang, solange der Angehörige mit Behinderung ihre Hilfe benötigt. Dies kann bedeuten, dass der informelle Helfer auch dann noch Unterstützung anbietet, wenn er ein hohes Alter erreicht und nicht mehr die Kraft oder Ausdauer für bestimmte körperlich anstrengendere Aufgaben </w:t>
      </w:r>
      <w:r>
        <w:rPr>
          <w:sz w:val="24"/>
          <w:bdr w:val="nil"/>
        </w:rPr>
        <w:lastRenderedPageBreak/>
        <w:t xml:space="preserve">hat. Wird man in seiner Rolle als pflegender Angehöriger nicht unterstützt, kann dies daher das eigene Wohlbefinden und das Recht auf ein gesundes Altern beeinträchtigen. </w:t>
      </w:r>
    </w:p>
    <w:p w14:paraId="22E5F708" w14:textId="77777777" w:rsidR="002D4FDD" w:rsidRPr="00B26620" w:rsidRDefault="00624628" w:rsidP="002D4FDD">
      <w:pPr>
        <w:rPr>
          <w:rFonts w:cs="Arial"/>
          <w:sz w:val="24"/>
          <w:szCs w:val="24"/>
        </w:rPr>
      </w:pPr>
      <w:r>
        <w:rPr>
          <w:sz w:val="24"/>
          <w:bdr w:val="nil"/>
        </w:rPr>
        <w:t>Bei Frauen ist die Wahrscheinlichkeit, dass sie Hilfe benötigen, ebenfalls höher. Zunächst einmal ist festzuhalten, dass es laut den Vereinten Nationen weltweit mehr Frauen als Männer mit Behinderungen gibt. Die Vereinten Nationen schätzen die weltweite Prävalenz von Frauen mit Behinderungen auf 19 % der Bevölkerung, verglichen mit 12 % Männern mit Behinderungen. Es ist daher wahrscheinlich, dass Frauen mit Behinderungen insgesamt die Mehrheit der Personen ausmachen, die für ein selbstbestimmtes Leben Assistenzdienste benötigen.</w:t>
      </w:r>
    </w:p>
    <w:p w14:paraId="6B42A08E" w14:textId="77777777" w:rsidR="002D4FDD" w:rsidRDefault="00624628" w:rsidP="002D4FDD">
      <w:pPr>
        <w:rPr>
          <w:rFonts w:cs="Arial"/>
          <w:sz w:val="24"/>
          <w:szCs w:val="24"/>
        </w:rPr>
      </w:pPr>
      <w:r>
        <w:rPr>
          <w:sz w:val="24"/>
          <w:bdr w:val="nil"/>
        </w:rPr>
        <w:t>Wir haben zwar auf EU-Ebene keine detaillierten und aufgeschlüsselten Daten über Menschen mit Behinderungen, die langfristige Unterstützung benötigen, verfügen aber über sehr aufschlussreiche Daten über ältere Menschen, die Unterstützung benötigen. Laut diesen Daten benötigen etwa 37 % der Frauen über 65 Jahre Langzeitpflege, verglichen mit 23 % der Männer über 65 Jahre. Im Durchschnitt leben Frauen 3,5 Jahre länger als Männer und verbringen 12,7 Jahre mit einer chronischen Krankheit oder Behinderung, verglichen mit 9,2 Jahren bei den Männern</w:t>
      </w:r>
      <w:r w:rsidR="002D4FDD" w:rsidRPr="00B26620">
        <w:rPr>
          <w:rStyle w:val="Appelnotedebasdep"/>
          <w:sz w:val="24"/>
          <w:szCs w:val="24"/>
        </w:rPr>
        <w:footnoteReference w:id="17"/>
      </w:r>
      <w:r>
        <w:rPr>
          <w:sz w:val="24"/>
          <w:bdr w:val="nil"/>
        </w:rPr>
        <w:t xml:space="preserve">. Dies unterstreicht einmal mehr, dass Frauen nicht nur in der Rolle der Pflegenden, sondern auch in der Rolle der Pflegeempfänger in der Überzahl sind. </w:t>
      </w:r>
    </w:p>
    <w:p w14:paraId="76165FB1" w14:textId="77777777" w:rsidR="002D4FDD" w:rsidRDefault="00624628" w:rsidP="002D4FDD">
      <w:pPr>
        <w:shd w:val="clear" w:color="auto" w:fill="D9F2D0"/>
        <w:rPr>
          <w:rFonts w:cs="Arial"/>
          <w:sz w:val="24"/>
          <w:szCs w:val="24"/>
        </w:rPr>
      </w:pPr>
      <w:r>
        <w:rPr>
          <w:b/>
          <w:sz w:val="24"/>
          <w:bdr w:val="nil"/>
        </w:rPr>
        <w:t xml:space="preserve">Empfehlungen für nationale und lokale Behörden: </w:t>
      </w:r>
      <w:r>
        <w:rPr>
          <w:sz w:val="24"/>
          <w:bdr w:val="nil"/>
        </w:rPr>
        <w:t>Sicherstellen, dass informelle Betreuung durch Familienmitglieder nur dann stattfindet, wenn der Mensch mit Behinderung oder sein Familienmitglied sich dafür entschieden hat, und niemals als Notwendigkeit aufgrund des Fehlens von Diensten oder Unterstützung in der Nähe.</w:t>
      </w:r>
    </w:p>
    <w:p w14:paraId="53621019" w14:textId="77777777" w:rsidR="002D4FDD" w:rsidRDefault="00624628" w:rsidP="002D4FDD">
      <w:pPr>
        <w:shd w:val="clear" w:color="auto" w:fill="D9F2D0"/>
        <w:rPr>
          <w:rFonts w:cs="Arial"/>
          <w:sz w:val="24"/>
          <w:szCs w:val="24"/>
        </w:rPr>
      </w:pPr>
      <w:r>
        <w:rPr>
          <w:sz w:val="24"/>
          <w:bdr w:val="nil"/>
        </w:rPr>
        <w:t xml:space="preserve">Sicherstellen, dass Personen, die informelle Pflege leisten, insbesondere Frauen, die in diesen Rollen überrepräsentiert sind, einen finanziellen Ausgleich für die geleistete Arbeit erhalten. Dieser Ausgleich muss auch den Weg für solide Rentensysteme ebnen, die das Armutsrisiko im späteren Leben verringern. Darüber hinaus müssen Betreuungsangebote für alle erschwinglich und leicht zugänglich sein, ebenso wie häufige häusliche Hilfe, um informellen Betreuern einen Teil der getragenen Verantwortung abzunehmen. </w:t>
      </w:r>
    </w:p>
    <w:p w14:paraId="7410603A" w14:textId="77777777" w:rsidR="002D4FDD" w:rsidRPr="00B26620" w:rsidRDefault="00624628" w:rsidP="002D4FDD">
      <w:pPr>
        <w:shd w:val="clear" w:color="auto" w:fill="D9F2D0"/>
        <w:rPr>
          <w:rFonts w:cs="Arial"/>
          <w:sz w:val="24"/>
          <w:szCs w:val="24"/>
        </w:rPr>
      </w:pPr>
      <w:r>
        <w:rPr>
          <w:sz w:val="24"/>
          <w:bdr w:val="nil"/>
        </w:rPr>
        <w:t xml:space="preserve">Angesichts der Prävalenz von Frauen mit Behinderungen unter den Nutzern von Hilfsdiensten ist sicherzustellen, dass die Dienste unter Berücksichtigung ihrer Bedürfnisse konzipiert werden. Es sollte besonders darauf geachtet werden, dass Frauen mit Behinderungen, die Unterstützung für ein selbstbestimmtes Leben erhalten, vor der Gefahr der Belästigung oder sexualisierten Gewalt geschützt werden, deren Ziel sie unverhältnismäßig häufig sind. </w:t>
      </w:r>
    </w:p>
    <w:p w14:paraId="33488669" w14:textId="77777777" w:rsidR="002D4FDD" w:rsidRPr="00223C75" w:rsidRDefault="002D4FDD" w:rsidP="002D4FDD"/>
    <w:p w14:paraId="00592F02" w14:textId="77777777" w:rsidR="002D4FDD" w:rsidRDefault="00624628" w:rsidP="002D4FDD">
      <w:pPr>
        <w:pStyle w:val="Titre3"/>
      </w:pPr>
      <w:bookmarkStart w:id="55" w:name="_Toc161062608"/>
      <w:r>
        <w:rPr>
          <w:bdr w:val="nil"/>
        </w:rPr>
        <w:lastRenderedPageBreak/>
        <w:t>Organisationen von Menschen mit Behinderungen beteiligen</w:t>
      </w:r>
      <w:bookmarkEnd w:id="55"/>
    </w:p>
    <w:p w14:paraId="786D106D" w14:textId="77777777" w:rsidR="002D4FDD" w:rsidRPr="006001E0" w:rsidRDefault="00624628" w:rsidP="002D4FDD">
      <w:pPr>
        <w:rPr>
          <w:rFonts w:cs="Arial"/>
          <w:sz w:val="24"/>
          <w:szCs w:val="24"/>
        </w:rPr>
      </w:pPr>
      <w:r>
        <w:rPr>
          <w:sz w:val="24"/>
          <w:bdr w:val="nil"/>
        </w:rPr>
        <w:t xml:space="preserve">Alle oben genannten Maßnahmen müssen in Partnerschaft mit Behindertenorganisationen konzipiert und umgesetzt werden. Wenn diese Organisationen frühzeitig, sinnvoll und im Geiste der Zusammenarbeit einbezogen werden, können besser konzipierte Antworten entwickelt werden. Dies wird sicherstellen, dass die Maßnahmen den tatsächlichen Bedürfnissen von Menschen mit Behinderungen entsprechen und sich auf die dringlichsten Probleme konzentrieren. </w:t>
      </w:r>
    </w:p>
    <w:p w14:paraId="0B1C285A" w14:textId="77777777" w:rsidR="002D4FDD" w:rsidRPr="00C53240" w:rsidRDefault="00624628" w:rsidP="002D4FDD">
      <w:pPr>
        <w:rPr>
          <w:rFonts w:cs="Arial"/>
          <w:sz w:val="24"/>
          <w:szCs w:val="24"/>
        </w:rPr>
      </w:pPr>
      <w:r>
        <w:rPr>
          <w:sz w:val="24"/>
          <w:bdr w:val="nil"/>
        </w:rPr>
        <w:t>Die Einbeziehung von Behindertenorganisationen wird zu einer effektiveren Reaktion führen. Sie können die zuständigen Behörden anleiten, welche Punkte vorrangig zu behandeln sind und wie dies zu geschehen hat. Letztendlich würde dies das Risiko verringern, dass ineffiziente Mechanismen eingeführt werden, die später überarbeitet werden müssen.</w:t>
      </w:r>
    </w:p>
    <w:p w14:paraId="5244C535" w14:textId="77777777" w:rsidR="002D4FDD" w:rsidRPr="006001E0" w:rsidRDefault="00624628" w:rsidP="002D4FDD">
      <w:pPr>
        <w:shd w:val="clear" w:color="auto" w:fill="FFFFFF"/>
        <w:rPr>
          <w:rFonts w:cs="Arial"/>
          <w:sz w:val="24"/>
          <w:szCs w:val="24"/>
        </w:rPr>
      </w:pPr>
      <w:r>
        <w:rPr>
          <w:sz w:val="24"/>
          <w:bdr w:val="nil"/>
        </w:rPr>
        <w:t>Der Staat muss nicht nur mit Behindertenorganisationen zusammenarbeiten, sondern auch Unterstützung leisten, um die Arbeit dieser Organisationen zu erleichtern. Diese finanzielle Unterstützung soll es ihnen ermöglichen:</w:t>
      </w:r>
    </w:p>
    <w:p w14:paraId="334E6B28" w14:textId="77777777" w:rsidR="002D4FDD" w:rsidRPr="006001E0" w:rsidRDefault="00624628" w:rsidP="002D4FDD">
      <w:pPr>
        <w:pStyle w:val="Paragraphedeliste"/>
        <w:numPr>
          <w:ilvl w:val="0"/>
          <w:numId w:val="8"/>
        </w:numPr>
        <w:shd w:val="clear" w:color="auto" w:fill="FFFFFF"/>
        <w:rPr>
          <w:rFonts w:ascii="Arial" w:hAnsi="Arial" w:cs="Arial"/>
          <w:sz w:val="24"/>
          <w:szCs w:val="24"/>
        </w:rPr>
      </w:pPr>
      <w:r>
        <w:rPr>
          <w:rFonts w:ascii="Arial" w:hAnsi="Arial"/>
          <w:sz w:val="24"/>
          <w:bdr w:val="nil"/>
        </w:rPr>
        <w:t>Peer-Support anzubieten</w:t>
      </w:r>
    </w:p>
    <w:p w14:paraId="62719C65" w14:textId="77777777" w:rsidR="002D4FDD" w:rsidRPr="006001E0" w:rsidRDefault="00624628" w:rsidP="002D4FDD">
      <w:pPr>
        <w:pStyle w:val="Paragraphedeliste"/>
        <w:numPr>
          <w:ilvl w:val="0"/>
          <w:numId w:val="8"/>
        </w:numPr>
        <w:shd w:val="clear" w:color="auto" w:fill="FFFFFF"/>
        <w:rPr>
          <w:rFonts w:ascii="Arial" w:hAnsi="Arial" w:cs="Arial"/>
          <w:sz w:val="24"/>
          <w:szCs w:val="24"/>
        </w:rPr>
      </w:pPr>
      <w:r>
        <w:rPr>
          <w:rFonts w:ascii="Arial" w:hAnsi="Arial"/>
          <w:sz w:val="24"/>
          <w:bdr w:val="nil"/>
        </w:rPr>
        <w:t>Personen zu helfen, ihr persönliches Budget zu verwalten</w:t>
      </w:r>
    </w:p>
    <w:p w14:paraId="3B89B7BE" w14:textId="77777777" w:rsidR="002D4FDD" w:rsidRDefault="00624628" w:rsidP="002D4FDD">
      <w:pPr>
        <w:pStyle w:val="Paragraphedeliste"/>
        <w:numPr>
          <w:ilvl w:val="0"/>
          <w:numId w:val="8"/>
        </w:numPr>
        <w:shd w:val="clear" w:color="auto" w:fill="FFFFFF"/>
        <w:rPr>
          <w:rFonts w:ascii="Arial" w:hAnsi="Arial" w:cs="Arial"/>
          <w:sz w:val="24"/>
          <w:szCs w:val="24"/>
        </w:rPr>
      </w:pPr>
      <w:r>
        <w:rPr>
          <w:rFonts w:ascii="Arial" w:hAnsi="Arial"/>
          <w:sz w:val="24"/>
          <w:bdr w:val="nil"/>
        </w:rPr>
        <w:t xml:space="preserve">Menschen mit Behinderungen in der Beschäftigung von persönlichen Assistentinnen und Assistenten zu schulen. </w:t>
      </w:r>
    </w:p>
    <w:p w14:paraId="2D5AC0D4" w14:textId="77777777" w:rsidR="002D4FDD" w:rsidRPr="006001E0" w:rsidRDefault="00624628" w:rsidP="002D4FDD">
      <w:pPr>
        <w:pStyle w:val="Paragraphedeliste"/>
        <w:numPr>
          <w:ilvl w:val="0"/>
          <w:numId w:val="8"/>
        </w:numPr>
        <w:shd w:val="clear" w:color="auto" w:fill="FFFFFF"/>
        <w:rPr>
          <w:rFonts w:ascii="Arial" w:hAnsi="Arial" w:cs="Arial"/>
          <w:sz w:val="24"/>
          <w:szCs w:val="24"/>
        </w:rPr>
      </w:pPr>
      <w:r>
        <w:rPr>
          <w:rFonts w:ascii="Arial" w:hAnsi="Arial"/>
          <w:sz w:val="24"/>
          <w:bdr w:val="nil"/>
        </w:rPr>
        <w:t>Rechtliche Beratung und Unterstützung zu bieten</w:t>
      </w:r>
    </w:p>
    <w:p w14:paraId="0DA43F77" w14:textId="77777777" w:rsidR="002D4FDD" w:rsidRDefault="00624628" w:rsidP="002D4FDD">
      <w:pPr>
        <w:pStyle w:val="Paragraphedeliste"/>
        <w:numPr>
          <w:ilvl w:val="0"/>
          <w:numId w:val="8"/>
        </w:numPr>
        <w:shd w:val="clear" w:color="auto" w:fill="FFFFFF"/>
        <w:rPr>
          <w:rFonts w:ascii="Arial" w:hAnsi="Arial" w:cs="Arial"/>
          <w:sz w:val="24"/>
          <w:szCs w:val="24"/>
        </w:rPr>
      </w:pPr>
      <w:r>
        <w:rPr>
          <w:rFonts w:ascii="Arial" w:hAnsi="Arial"/>
          <w:sz w:val="24"/>
          <w:bdr w:val="nil"/>
        </w:rPr>
        <w:t>Beratung und Unterstützung in Bezug auf Invaliditätsbeihilfe bereitzustellen</w:t>
      </w:r>
    </w:p>
    <w:p w14:paraId="71235F6A" w14:textId="77777777" w:rsidR="002D4FDD" w:rsidRPr="006001E0" w:rsidRDefault="00624628" w:rsidP="002D4FDD">
      <w:pPr>
        <w:pStyle w:val="Paragraphedeliste"/>
        <w:numPr>
          <w:ilvl w:val="0"/>
          <w:numId w:val="8"/>
        </w:numPr>
        <w:shd w:val="clear" w:color="auto" w:fill="FFFFFF"/>
        <w:rPr>
          <w:rFonts w:ascii="Arial" w:hAnsi="Arial" w:cs="Arial"/>
          <w:sz w:val="24"/>
          <w:szCs w:val="24"/>
        </w:rPr>
      </w:pPr>
      <w:r>
        <w:rPr>
          <w:rFonts w:ascii="Arial" w:hAnsi="Arial"/>
          <w:sz w:val="24"/>
          <w:bdr w:val="nil"/>
        </w:rPr>
        <w:t>Hilfe bei der Suche nach einer Unterkunft in der Gemeinschaft anzubieten</w:t>
      </w:r>
    </w:p>
    <w:p w14:paraId="751065A2" w14:textId="77777777" w:rsidR="002D4FDD" w:rsidRPr="00D81B7B" w:rsidRDefault="00624628" w:rsidP="002D4FDD">
      <w:pPr>
        <w:pStyle w:val="Paragraphedeliste"/>
        <w:numPr>
          <w:ilvl w:val="0"/>
          <w:numId w:val="8"/>
        </w:numPr>
        <w:shd w:val="clear" w:color="auto" w:fill="FFFFFF"/>
        <w:rPr>
          <w:rFonts w:ascii="Arial" w:hAnsi="Arial" w:cs="Arial"/>
          <w:sz w:val="24"/>
          <w:szCs w:val="24"/>
        </w:rPr>
      </w:pPr>
      <w:r>
        <w:rPr>
          <w:rFonts w:ascii="Arial" w:hAnsi="Arial"/>
          <w:sz w:val="24"/>
          <w:bdr w:val="nil"/>
        </w:rPr>
        <w:t>Den Zugang zum Recht auf ein selbstbestimmtes Leben auf lokaler Ebene zu kontrollieren</w:t>
      </w:r>
    </w:p>
    <w:p w14:paraId="1117E912" w14:textId="77777777" w:rsidR="002D4FDD" w:rsidRDefault="002D4FDD" w:rsidP="002D4FDD">
      <w:pPr>
        <w:pStyle w:val="Paragraphedeliste"/>
        <w:shd w:val="clear" w:color="auto" w:fill="FFFFFF"/>
        <w:ind w:left="1080"/>
        <w:rPr>
          <w:rFonts w:ascii="Arial" w:hAnsi="Arial" w:cs="Arial"/>
          <w:sz w:val="24"/>
          <w:szCs w:val="24"/>
        </w:rPr>
      </w:pPr>
    </w:p>
    <w:p w14:paraId="5D551CB2" w14:textId="77777777" w:rsidR="002D4FDD" w:rsidRDefault="00624628" w:rsidP="002D4FDD">
      <w:pPr>
        <w:shd w:val="clear" w:color="auto" w:fill="D9F2D0"/>
        <w:rPr>
          <w:rFonts w:cs="Arial"/>
          <w:sz w:val="24"/>
          <w:szCs w:val="24"/>
        </w:rPr>
      </w:pPr>
      <w:r>
        <w:rPr>
          <w:b/>
          <w:sz w:val="24"/>
          <w:bdr w:val="nil"/>
        </w:rPr>
        <w:t xml:space="preserve">Empfehlungen für nationale und lokale Behörden:  </w:t>
      </w:r>
      <w:r>
        <w:rPr>
          <w:sz w:val="24"/>
          <w:bdr w:val="nil"/>
        </w:rPr>
        <w:t>Personen mit Behinderungen und die Organisationen, die sie vertreten, maßgeblich an allen Phasen der Entwicklung neuer politischer Konzepte oder Maßnahmen, die sie betreffen, begleiten.</w:t>
      </w:r>
    </w:p>
    <w:p w14:paraId="253ACB9B" w14:textId="77777777" w:rsidR="002D4FDD" w:rsidRPr="00A724F9" w:rsidRDefault="00624628" w:rsidP="002D4FDD">
      <w:pPr>
        <w:shd w:val="clear" w:color="auto" w:fill="D9F2D0"/>
        <w:rPr>
          <w:rFonts w:cs="Arial"/>
          <w:sz w:val="24"/>
          <w:szCs w:val="24"/>
        </w:rPr>
      </w:pPr>
      <w:r>
        <w:rPr>
          <w:sz w:val="24"/>
          <w:bdr w:val="nil"/>
        </w:rPr>
        <w:t>Finanzielle Unterstützung für Behindertenorganisationen bereitstellen, damit diese bei der Bereitstellung von Hilfsdiensten als Bindeglied zwischen Menschen mit Behinderungen, dem Staat und den lokalen Behörden fungieren können.</w:t>
      </w:r>
    </w:p>
    <w:p w14:paraId="5BA1C536" w14:textId="77777777" w:rsidR="002D4FDD" w:rsidRPr="008546AB" w:rsidRDefault="002D4FDD" w:rsidP="002D4FDD">
      <w:pPr>
        <w:shd w:val="clear" w:color="auto" w:fill="FFFFFF"/>
        <w:rPr>
          <w:rFonts w:cs="Arial"/>
          <w:sz w:val="24"/>
          <w:szCs w:val="24"/>
        </w:rPr>
      </w:pPr>
    </w:p>
    <w:p w14:paraId="68178287" w14:textId="77777777" w:rsidR="002D4FDD" w:rsidRPr="00FE36CA" w:rsidRDefault="002D4FDD" w:rsidP="002D4FDD"/>
    <w:p w14:paraId="68F7740B" w14:textId="77777777" w:rsidR="002D4FDD" w:rsidRPr="00FE36CA" w:rsidRDefault="00624628" w:rsidP="002D4FDD">
      <w:pPr>
        <w:pStyle w:val="Titre2"/>
        <w:numPr>
          <w:ilvl w:val="0"/>
          <w:numId w:val="21"/>
        </w:numPr>
      </w:pPr>
      <w:bookmarkStart w:id="56" w:name="_Toc161062609"/>
      <w:r>
        <w:rPr>
          <w:bdr w:val="nil"/>
        </w:rPr>
        <w:t>Empfehlungen an die Europäische Union</w:t>
      </w:r>
      <w:bookmarkEnd w:id="56"/>
    </w:p>
    <w:p w14:paraId="782BC5A0" w14:textId="77777777" w:rsidR="002D4FDD" w:rsidRDefault="00624628" w:rsidP="002D4FDD">
      <w:pPr>
        <w:rPr>
          <w:rFonts w:cs="Arial"/>
          <w:sz w:val="24"/>
          <w:szCs w:val="24"/>
        </w:rPr>
      </w:pPr>
      <w:r>
        <w:rPr>
          <w:sz w:val="24"/>
          <w:bdr w:val="nil"/>
        </w:rPr>
        <w:t xml:space="preserve">Die Europäische Union spielt eine wichtige Rolle dabei, Menschen mit Behinderungen den Übergang von Einrichtungen zu einem selbstbestimmten Leben und zur Eingliederung in die Gemeinschaft zu erleichtern. Sie trägt auch dazu bei, die zwischen den Mitgliedstaaten und Orten festgestellten Unterschiede in Bezug auf die Möglichkeiten und den Umfang der </w:t>
      </w:r>
      <w:r>
        <w:rPr>
          <w:sz w:val="24"/>
          <w:bdr w:val="nil"/>
        </w:rPr>
        <w:lastRenderedPageBreak/>
        <w:t>Unterstützung für ein selbstbestimmtes Leben von Menschen mit Behinderungen zu überwinden.</w:t>
      </w:r>
    </w:p>
    <w:p w14:paraId="42498017" w14:textId="77777777" w:rsidR="002D4FDD" w:rsidRDefault="00624628" w:rsidP="002D4FDD">
      <w:pPr>
        <w:rPr>
          <w:rFonts w:cs="Arial"/>
          <w:sz w:val="24"/>
          <w:szCs w:val="24"/>
        </w:rPr>
      </w:pPr>
      <w:r>
        <w:rPr>
          <w:sz w:val="24"/>
          <w:bdr w:val="nil"/>
        </w:rPr>
        <w:t xml:space="preserve">Die Europäische Union strebt mit ihrer </w:t>
      </w:r>
      <w:hyperlink r:id="rId32" w:anchor=":~:text=Cohesion%20Policy%20is%20the%20EU%27s,improve%20citizens%27%20quality%20of%20life.">
        <w:r>
          <w:rPr>
            <w:color w:val="0000FF"/>
            <w:sz w:val="24"/>
            <w:u w:val="single"/>
            <w:bdr w:val="nil"/>
          </w:rPr>
          <w:t>Kohäsionspolitik</w:t>
        </w:r>
      </w:hyperlink>
      <w:r>
        <w:rPr>
          <w:sz w:val="24"/>
          <w:bdr w:val="nil"/>
        </w:rPr>
        <w:t xml:space="preserve"> an, die Kluft zwischen den wohlhabendsten und am weitesten entwickelten Regionen der EU und denjenigen, die vor den größten Herausforderungen stehen, zu überbrücken, auch wenn es darum geht, die Kandidatenländer auf den Beitritt zur Union vorzubereiten.</w:t>
      </w:r>
    </w:p>
    <w:p w14:paraId="18C3BAAA" w14:textId="77777777" w:rsidR="002D4FDD" w:rsidRDefault="00624628" w:rsidP="002D4FDD">
      <w:pPr>
        <w:rPr>
          <w:rFonts w:cs="Arial"/>
          <w:sz w:val="24"/>
          <w:szCs w:val="24"/>
        </w:rPr>
      </w:pPr>
      <w:r>
        <w:rPr>
          <w:sz w:val="24"/>
          <w:bdr w:val="nil"/>
        </w:rPr>
        <w:t xml:space="preserve">Was den Übergang von den Einrichtungen zur Gemeinschaftshilfe betrifft, so hatte jedes Land, jede Region und jeder Ort einen anderen Ausgangspunkt und befindet sich in einer anderen Phase des Prozesses. Für einige wird die Umwandlung veralteter Modelle der Pflege und Leistungserbringung ein großes Unterfangen bleiben. Es ist jedoch wichtig zu betonen, dass das Problem der Einrichtungen nicht auf ein Land oder eine Region in Europa beschränkt ist. Einrichtungen bleiben ein Problem in Westeuropa und den alten EU-Mitgliedstaaten, ebenso wie in den neuen Mitgliedstaaten in Mittel- und Osteuropa </w:t>
      </w:r>
    </w:p>
    <w:p w14:paraId="27DCCA1A" w14:textId="77777777" w:rsidR="002D4FDD" w:rsidRDefault="00624628" w:rsidP="002D4FDD">
      <w:pPr>
        <w:rPr>
          <w:rFonts w:cs="Arial"/>
          <w:sz w:val="24"/>
          <w:szCs w:val="24"/>
        </w:rPr>
      </w:pPr>
      <w:r>
        <w:rPr>
          <w:sz w:val="24"/>
          <w:bdr w:val="nil"/>
        </w:rPr>
        <w:t xml:space="preserve">Das Europäische Behindertenforum fordert die Europäische Union daher auf, folgende Maßnahmen zu ergreifen und sich dabei auf die Orte zu konzentrieren, in denen die meisten Menschen noch in Einrichtungen leben: </w:t>
      </w:r>
    </w:p>
    <w:p w14:paraId="5C41FFB7" w14:textId="77777777" w:rsidR="002D4FDD" w:rsidRDefault="002D4FDD" w:rsidP="002D4FDD">
      <w:pPr>
        <w:rPr>
          <w:rFonts w:cs="Arial"/>
          <w:sz w:val="24"/>
          <w:szCs w:val="24"/>
        </w:rPr>
      </w:pPr>
    </w:p>
    <w:p w14:paraId="6AFBF921" w14:textId="77777777" w:rsidR="002D4FDD" w:rsidRPr="00FE36CA" w:rsidRDefault="00624628" w:rsidP="002D4FDD">
      <w:pPr>
        <w:pStyle w:val="Titre3"/>
        <w:shd w:val="clear" w:color="auto" w:fill="D9F2D0"/>
      </w:pPr>
      <w:bookmarkStart w:id="57" w:name="_Toc161062610"/>
      <w:r>
        <w:rPr>
          <w:bdr w:val="nil"/>
        </w:rPr>
        <w:t>Die Anzahl der Personen in Einrichtungen verwalten</w:t>
      </w:r>
      <w:bookmarkEnd w:id="57"/>
    </w:p>
    <w:p w14:paraId="5F91452C" w14:textId="77777777" w:rsidR="002D4FDD" w:rsidRPr="006001E0" w:rsidRDefault="00624628" w:rsidP="002D4FDD">
      <w:pPr>
        <w:shd w:val="clear" w:color="auto" w:fill="D9F2D0"/>
        <w:rPr>
          <w:rFonts w:cs="Arial"/>
          <w:sz w:val="24"/>
          <w:szCs w:val="24"/>
        </w:rPr>
      </w:pPr>
      <w:r>
        <w:rPr>
          <w:sz w:val="24"/>
          <w:bdr w:val="nil"/>
        </w:rPr>
        <w:t xml:space="preserve">Es ist von entscheidender Bedeutung, dass die Kommission in Zusammenarbeit mit den nationalen Verwaltungsbehörden und den Behindertenorganisationen Indikatoren entwickelt, um die Entwicklung der Investitionen in die soziale Eingliederung und das selbstbestimmte Leben zu messen. Wenn die von der EU finanzierten Maßnahmen die Lebensdauer der Einrichtungen verlängern oder keine wesentlichen Fortschritte beim Übergang von der Betreuung in einer Einrichtung zu Nachbarschaftsdiensten bewirken, muss die Finanzierung dieser Projekte eingestellt werden. Im Falle von gut funktionierenden Pilotprojekten sollten diese Initiativen zu langfristigen, finanzierten Programmen werden, die in dem Mitgliedstaat eingerichtet werden. </w:t>
      </w:r>
    </w:p>
    <w:p w14:paraId="63178F42" w14:textId="65BAE5AC" w:rsidR="002D4FDD" w:rsidRPr="006001E0" w:rsidRDefault="00624628" w:rsidP="002D4FDD">
      <w:pPr>
        <w:shd w:val="clear" w:color="auto" w:fill="D9F2D0"/>
        <w:rPr>
          <w:rFonts w:cs="Arial"/>
          <w:sz w:val="24"/>
          <w:szCs w:val="24"/>
        </w:rPr>
      </w:pPr>
      <w:r>
        <w:rPr>
          <w:sz w:val="24"/>
          <w:bdr w:val="nil"/>
        </w:rPr>
        <w:t xml:space="preserve">Die Überwachung hängt auch von einer verbesserten Datenerhebung über Menschen ab, die in Einrichtungen leben, ein Bereich, in dem es derzeit an einer Datenerhebung auf EU-Ebene stark mangelt. Daher ist es wichtig, dass </w:t>
      </w:r>
      <w:hyperlink r:id="rId33" w:history="1">
        <w:r>
          <w:rPr>
            <w:color w:val="0000FF"/>
            <w:sz w:val="24"/>
            <w:u w:val="single"/>
            <w:bdr w:val="nil"/>
          </w:rPr>
          <w:t>Eur</w:t>
        </w:r>
        <w:r>
          <w:rPr>
            <w:color w:val="0000FF"/>
            <w:sz w:val="24"/>
            <w:u w:val="single"/>
            <w:bdr w:val="nil"/>
          </w:rPr>
          <w:t>o</w:t>
        </w:r>
        <w:r>
          <w:rPr>
            <w:color w:val="0000FF"/>
            <w:sz w:val="24"/>
            <w:u w:val="single"/>
            <w:bdr w:val="nil"/>
          </w:rPr>
          <w:t>s</w:t>
        </w:r>
        <w:r>
          <w:rPr>
            <w:color w:val="0000FF"/>
            <w:sz w:val="24"/>
            <w:u w:val="single"/>
            <w:bdr w:val="nil"/>
          </w:rPr>
          <w:t>tat</w:t>
        </w:r>
      </w:hyperlink>
      <w:r>
        <w:rPr>
          <w:sz w:val="24"/>
          <w:bdr w:val="nil"/>
        </w:rPr>
        <w:t xml:space="preserve"> in Zusammenarbeit mit den nationalen statistischen Ämtern damit beginnt, aufgeschlüsselte Daten über Personen, die in Einrichtungen leben (wie in der Allgemeinen Bemerkung Nr. 5 definiert), zu erheben, die Aufschluss über ihre Anzahl sowie über Aspekte wie Alter, Geschlecht, ethnische Zugehörigkeit usw. geben. Wir empfehlen dringend, diese Überwachung der Anzahl der Personen in Einrichtungen in das </w:t>
      </w:r>
      <w:hyperlink r:id="rId34" w:history="1">
        <w:r>
          <w:rPr>
            <w:color w:val="0000FF"/>
            <w:sz w:val="24"/>
            <w:u w:val="single"/>
            <w:bdr w:val="nil"/>
          </w:rPr>
          <w:t>sozialpolitische</w:t>
        </w:r>
        <w:r>
          <w:rPr>
            <w:color w:val="0000FF"/>
            <w:sz w:val="24"/>
            <w:u w:val="single"/>
            <w:bdr w:val="nil"/>
          </w:rPr>
          <w:t xml:space="preserve"> </w:t>
        </w:r>
        <w:r>
          <w:rPr>
            <w:color w:val="0000FF"/>
            <w:sz w:val="24"/>
            <w:u w:val="single"/>
            <w:bdr w:val="nil"/>
          </w:rPr>
          <w:t>Scoreboard</w:t>
        </w:r>
      </w:hyperlink>
      <w:r>
        <w:rPr>
          <w:sz w:val="24"/>
          <w:bdr w:val="nil"/>
        </w:rPr>
        <w:t xml:space="preserve"> aufzunehmen und regelmäßig zu überprüfen. </w:t>
      </w:r>
    </w:p>
    <w:p w14:paraId="19DFD4DC" w14:textId="77777777" w:rsidR="002D4FDD" w:rsidRPr="006001E0" w:rsidRDefault="002D4FDD" w:rsidP="002D4FDD">
      <w:pPr>
        <w:shd w:val="clear" w:color="auto" w:fill="FFFFFF"/>
        <w:rPr>
          <w:rFonts w:cs="Arial"/>
          <w:sz w:val="24"/>
          <w:szCs w:val="24"/>
        </w:rPr>
      </w:pPr>
    </w:p>
    <w:p w14:paraId="3AF5B564" w14:textId="77777777" w:rsidR="002D4FDD" w:rsidRDefault="00624628" w:rsidP="002D4FDD">
      <w:pPr>
        <w:pStyle w:val="Titre3"/>
        <w:shd w:val="clear" w:color="auto" w:fill="D9F2D0"/>
      </w:pPr>
      <w:bookmarkStart w:id="58" w:name="_Toc161062611"/>
      <w:r>
        <w:rPr>
          <w:bdr w:val="nil"/>
        </w:rPr>
        <w:lastRenderedPageBreak/>
        <w:t>Überprüfen, ob die Menschenrechte von Menschen mit Behinderungen in Einrichtungen durchgesetzt werden.</w:t>
      </w:r>
      <w:bookmarkEnd w:id="58"/>
    </w:p>
    <w:p w14:paraId="7F3CA360" w14:textId="77777777" w:rsidR="002D4FDD" w:rsidRPr="006001E0" w:rsidRDefault="00624628" w:rsidP="002D4FDD">
      <w:pPr>
        <w:shd w:val="clear" w:color="auto" w:fill="D9F2D0"/>
        <w:rPr>
          <w:rFonts w:cs="Arial"/>
          <w:sz w:val="24"/>
          <w:szCs w:val="24"/>
        </w:rPr>
      </w:pPr>
      <w:r>
        <w:rPr>
          <w:sz w:val="24"/>
          <w:bdr w:val="nil"/>
        </w:rPr>
        <w:t xml:space="preserve">Die Europäische Union muss sich stärker mit der Verletzung von Behindertenrechten in Einrichtungen befassen, wie es die Europäische Kommission in Aktion 36 der EU-Strategie für die Rechte von Menschen mit Behinderungen vorschlägt. Es gibt Agenturen, die für diese Arbeit in Betracht gezogen werden könnten, wie z. B. die Agentur der Europäischen Union für Grundrechte </w:t>
      </w:r>
      <w:hyperlink r:id="rId35" w:history="1"/>
      <w:r>
        <w:rPr>
          <w:sz w:val="24"/>
          <w:bdr w:val="nil"/>
        </w:rPr>
        <w:t>.</w:t>
      </w:r>
      <w:r>
        <w:rPr>
          <w:bdr w:val="nil"/>
        </w:rPr>
        <w:br/>
      </w:r>
      <w:r>
        <w:rPr>
          <w:bdr w:val="nil"/>
        </w:rPr>
        <w:br/>
      </w:r>
      <w:r>
        <w:rPr>
          <w:sz w:val="24"/>
          <w:bdr w:val="nil"/>
        </w:rPr>
        <w:t xml:space="preserve"> Ziel sollte es sein, nicht nur die schwersten Menschenrechtsverletzungen aufzudecken, sondern auch einen Hinweis darauf zu geben, wie die Realität in der Mehrheit der institutionellen Umgebungen aussieht und mit welchen gemeinsamen Problemen Menschen in Einrichtungen in ganz Europa konfrontiert sind, um das Bewusstsein für die Notwendigkeit eines Übergangs aus den Einrichtungen zu schärfen. </w:t>
      </w:r>
    </w:p>
    <w:p w14:paraId="5454A936" w14:textId="77777777" w:rsidR="002D4FDD" w:rsidRPr="00D928A6" w:rsidRDefault="002D4FDD" w:rsidP="002D4FDD">
      <w:pPr>
        <w:shd w:val="clear" w:color="auto" w:fill="FFFFFF"/>
        <w:rPr>
          <w:rFonts w:cs="Arial"/>
        </w:rPr>
      </w:pPr>
    </w:p>
    <w:p w14:paraId="4EEC68E3" w14:textId="77777777" w:rsidR="002D4FDD" w:rsidRDefault="00624628" w:rsidP="002D4FDD">
      <w:pPr>
        <w:pStyle w:val="Titre3"/>
        <w:shd w:val="clear" w:color="auto" w:fill="D9F2D0"/>
      </w:pPr>
      <w:bookmarkStart w:id="59" w:name="_Toc161062612"/>
      <w:r>
        <w:rPr>
          <w:bdr w:val="nil"/>
        </w:rPr>
        <w:t>Nationale Behindertenstrategien unterstützen</w:t>
      </w:r>
      <w:bookmarkEnd w:id="59"/>
      <w:r>
        <w:rPr>
          <w:bdr w:val="nil"/>
        </w:rPr>
        <w:t xml:space="preserve"> </w:t>
      </w:r>
    </w:p>
    <w:p w14:paraId="5E80B85C" w14:textId="77777777" w:rsidR="002D4FDD" w:rsidRDefault="00624628" w:rsidP="002D4FDD">
      <w:pPr>
        <w:shd w:val="clear" w:color="auto" w:fill="D9F2D0"/>
        <w:rPr>
          <w:rFonts w:cs="Arial"/>
          <w:sz w:val="24"/>
          <w:szCs w:val="24"/>
        </w:rPr>
      </w:pPr>
      <w:r>
        <w:rPr>
          <w:sz w:val="24"/>
          <w:bdr w:val="nil"/>
        </w:rPr>
        <w:t>Die EU muss die Mitgliedstaaten bei der Entwicklung nationaler Strategien zur Deinstitutionalisierung unterstützen. Das EU-Instrument für technische Unterstützung</w:t>
      </w:r>
      <w:hyperlink r:id="rId36" w:anchor=":~:text=The%20Technical%20Support%20Instrument%20(TSI,to%20design%20and%20implement%20reforms." w:history="1"/>
      <w:r>
        <w:rPr>
          <w:sz w:val="24"/>
          <w:bdr w:val="nil"/>
        </w:rPr>
        <w:t xml:space="preserve"> sollte genutzt werden, um die Mitgliedstaaten bei der Entwicklung von Strategien zu unterstützen, die vollständig mit dem Übereinkommen der Vereinten Nationen über die Rechte von Menschen mit Behinderungen in Einklang stehen.</w:t>
      </w:r>
    </w:p>
    <w:p w14:paraId="0B2D90D8" w14:textId="77777777" w:rsidR="002D4FDD" w:rsidRPr="006001E0" w:rsidRDefault="00624628" w:rsidP="002D4FDD">
      <w:pPr>
        <w:shd w:val="clear" w:color="auto" w:fill="D9F2D0"/>
        <w:rPr>
          <w:rFonts w:cs="Arial"/>
          <w:sz w:val="24"/>
          <w:szCs w:val="24"/>
        </w:rPr>
      </w:pPr>
      <w:r>
        <w:rPr>
          <w:sz w:val="24"/>
          <w:bdr w:val="nil"/>
        </w:rPr>
        <w:t>Die Förderfähigkeit mit EU-Mitteln in den kommenden Verordnungen zur Regelung der Finanzierungsregeln, auch für die EU-Beitrittskandidaten, sollte an das Vorhandensein oder die laufende Entwicklung einer solchen Strategie auf nationaler Ebene geknüpft werden.  Strategien sollten, wie bereits erwähnt, Ziele und eine kontinuierliche Überwachung der Fortschritte beinhalten.</w:t>
      </w:r>
    </w:p>
    <w:p w14:paraId="6E1A65C3" w14:textId="77777777" w:rsidR="002D4FDD" w:rsidRPr="00594F8F" w:rsidRDefault="002D4FDD" w:rsidP="002D4FDD">
      <w:pPr>
        <w:shd w:val="clear" w:color="auto" w:fill="FFFFFF"/>
      </w:pPr>
    </w:p>
    <w:p w14:paraId="05BEEBFF" w14:textId="77777777" w:rsidR="002D4FDD" w:rsidRPr="00FE36CA" w:rsidRDefault="00624628" w:rsidP="002D4FDD">
      <w:pPr>
        <w:pStyle w:val="Titre3"/>
        <w:shd w:val="clear" w:color="auto" w:fill="D9F2D0"/>
      </w:pPr>
      <w:bookmarkStart w:id="60" w:name="_Toc161062613"/>
      <w:r>
        <w:rPr>
          <w:bdr w:val="nil"/>
        </w:rPr>
        <w:t>Europäische Fonds</w:t>
      </w:r>
      <w:bookmarkEnd w:id="60"/>
      <w:r>
        <w:rPr>
          <w:bdr w:val="nil"/>
        </w:rPr>
        <w:t xml:space="preserve"> </w:t>
      </w:r>
    </w:p>
    <w:p w14:paraId="08703662" w14:textId="77777777" w:rsidR="002D4FDD" w:rsidRPr="00FE36CA" w:rsidRDefault="00624628" w:rsidP="002D4FDD">
      <w:pPr>
        <w:pStyle w:val="Titre4"/>
        <w:shd w:val="clear" w:color="auto" w:fill="D9F2D0"/>
        <w:rPr>
          <w:i/>
          <w:iCs w:val="0"/>
        </w:rPr>
      </w:pPr>
      <w:r>
        <w:rPr>
          <w:bdr w:val="nil"/>
        </w:rPr>
        <w:t>Zuweisung eines Teils des Europäischen Sozialfonds+ für Hilfsdienste für Menschen mit Behinderungen</w:t>
      </w:r>
    </w:p>
    <w:p w14:paraId="53E30F8A" w14:textId="77777777" w:rsidR="002D4FDD" w:rsidRPr="006001E0" w:rsidRDefault="00624628" w:rsidP="002D4FDD">
      <w:pPr>
        <w:shd w:val="clear" w:color="auto" w:fill="D9F2D0"/>
        <w:rPr>
          <w:rFonts w:cs="Arial"/>
          <w:sz w:val="24"/>
          <w:szCs w:val="24"/>
        </w:rPr>
      </w:pPr>
      <w:r>
        <w:rPr>
          <w:sz w:val="24"/>
          <w:bdr w:val="nil"/>
        </w:rPr>
        <w:t xml:space="preserve">Der </w:t>
      </w:r>
      <w:hyperlink r:id="rId37" w:history="1">
        <w:r>
          <w:rPr>
            <w:color w:val="0000FF"/>
            <w:sz w:val="24"/>
            <w:u w:val="single"/>
            <w:bdr w:val="nil"/>
          </w:rPr>
          <w:t>Europäisc</w:t>
        </w:r>
        <w:r>
          <w:rPr>
            <w:color w:val="0000FF"/>
            <w:sz w:val="24"/>
            <w:u w:val="single"/>
            <w:bdr w:val="nil"/>
          </w:rPr>
          <w:t>h</w:t>
        </w:r>
        <w:r>
          <w:rPr>
            <w:color w:val="0000FF"/>
            <w:sz w:val="24"/>
            <w:u w:val="single"/>
            <w:bdr w:val="nil"/>
          </w:rPr>
          <w:t>e Sozialfonds+</w:t>
        </w:r>
      </w:hyperlink>
      <w:r>
        <w:rPr>
          <w:sz w:val="24"/>
          <w:bdr w:val="nil"/>
        </w:rPr>
        <w:t xml:space="preserve"> (ESF+) sollte mehr Mittel für Nachbarschaftsdienste und persönliche Betreuung bereitstellen als der </w:t>
      </w:r>
      <w:hyperlink r:id="rId38" w:history="1">
        <w:r>
          <w:rPr>
            <w:color w:val="0000FF"/>
            <w:sz w:val="24"/>
            <w:u w:val="single"/>
            <w:bdr w:val="nil"/>
          </w:rPr>
          <w:t>Regionale Entwicklung</w:t>
        </w:r>
        <w:r>
          <w:rPr>
            <w:color w:val="0000FF"/>
            <w:sz w:val="24"/>
            <w:u w:val="single"/>
            <w:bdr w:val="nil"/>
          </w:rPr>
          <w:t>s</w:t>
        </w:r>
        <w:r>
          <w:rPr>
            <w:color w:val="0000FF"/>
            <w:sz w:val="24"/>
            <w:u w:val="single"/>
            <w:bdr w:val="nil"/>
          </w:rPr>
          <w:t>fonds</w:t>
        </w:r>
      </w:hyperlink>
      <w:r>
        <w:rPr>
          <w:sz w:val="24"/>
          <w:bdr w:val="nil"/>
        </w:rPr>
        <w:t xml:space="preserve"> (EFRE), da die Ausgaben eher für Betreuungsprogramme als für den Bau von Wohneinrichtungen verwendet werden sollten.</w:t>
      </w:r>
    </w:p>
    <w:p w14:paraId="48D7F4FA" w14:textId="77777777" w:rsidR="002D4FDD" w:rsidRPr="008E19B4" w:rsidRDefault="00624628" w:rsidP="002D4FDD">
      <w:pPr>
        <w:shd w:val="clear" w:color="auto" w:fill="D9F2D0"/>
        <w:rPr>
          <w:rFonts w:cs="Arial"/>
          <w:sz w:val="24"/>
          <w:szCs w:val="24"/>
        </w:rPr>
      </w:pPr>
      <w:r>
        <w:rPr>
          <w:sz w:val="24"/>
          <w:bdr w:val="nil"/>
        </w:rPr>
        <w:t>Die Gelder aus dem ESF+ können für folgende Ziele eingesetzt werden:</w:t>
      </w:r>
    </w:p>
    <w:p w14:paraId="1FDDFE7A" w14:textId="77777777" w:rsidR="002D4FDD" w:rsidRPr="006001E0" w:rsidRDefault="00624628" w:rsidP="002D4FDD">
      <w:pPr>
        <w:pStyle w:val="Paragraphedeliste"/>
        <w:numPr>
          <w:ilvl w:val="0"/>
          <w:numId w:val="9"/>
        </w:numPr>
        <w:shd w:val="clear" w:color="auto" w:fill="D9F2D0"/>
        <w:ind w:left="1077" w:hanging="357"/>
        <w:rPr>
          <w:rFonts w:ascii="Arial" w:hAnsi="Arial" w:cs="Arial"/>
          <w:sz w:val="24"/>
          <w:szCs w:val="24"/>
        </w:rPr>
      </w:pPr>
      <w:r>
        <w:rPr>
          <w:rFonts w:ascii="Arial" w:hAnsi="Arial"/>
          <w:sz w:val="24"/>
          <w:bdr w:val="nil"/>
        </w:rPr>
        <w:t>Programme für persönliche Assistenz</w:t>
      </w:r>
    </w:p>
    <w:p w14:paraId="22785820" w14:textId="77777777" w:rsidR="002D4FDD" w:rsidRDefault="00624628" w:rsidP="002D4FDD">
      <w:pPr>
        <w:pStyle w:val="Paragraphedeliste"/>
        <w:numPr>
          <w:ilvl w:val="0"/>
          <w:numId w:val="9"/>
        </w:numPr>
        <w:shd w:val="clear" w:color="auto" w:fill="D9F2D0"/>
        <w:ind w:left="1077" w:hanging="357"/>
        <w:rPr>
          <w:rFonts w:ascii="Arial" w:hAnsi="Arial" w:cs="Arial"/>
          <w:sz w:val="24"/>
          <w:szCs w:val="24"/>
        </w:rPr>
      </w:pPr>
      <w:r>
        <w:rPr>
          <w:rFonts w:ascii="Arial" w:hAnsi="Arial"/>
          <w:sz w:val="24"/>
          <w:bdr w:val="nil"/>
        </w:rPr>
        <w:t>Bildungsprogramme, die junge Menschen auf eine größere Selbstständigkeit vorbereiten sollen</w:t>
      </w:r>
    </w:p>
    <w:p w14:paraId="7DD99A3D" w14:textId="77777777" w:rsidR="002D4FDD" w:rsidRDefault="00624628" w:rsidP="002D4FDD">
      <w:pPr>
        <w:pStyle w:val="Paragraphedeliste"/>
        <w:numPr>
          <w:ilvl w:val="0"/>
          <w:numId w:val="9"/>
        </w:numPr>
        <w:shd w:val="clear" w:color="auto" w:fill="D9F2D0"/>
        <w:ind w:left="1077" w:hanging="357"/>
        <w:rPr>
          <w:rFonts w:ascii="Arial" w:hAnsi="Arial" w:cs="Arial"/>
          <w:sz w:val="24"/>
          <w:szCs w:val="24"/>
        </w:rPr>
      </w:pPr>
      <w:r>
        <w:rPr>
          <w:rFonts w:ascii="Arial" w:hAnsi="Arial"/>
          <w:sz w:val="24"/>
          <w:bdr w:val="nil"/>
        </w:rPr>
        <w:lastRenderedPageBreak/>
        <w:t xml:space="preserve">Praktische und finanzielle Unterstützung für Familien von Kindern mit Behinderungen </w:t>
      </w:r>
    </w:p>
    <w:p w14:paraId="1FFF1577" w14:textId="77777777" w:rsidR="002D4FDD" w:rsidRPr="00416BDB" w:rsidRDefault="00624628" w:rsidP="002D4FDD">
      <w:pPr>
        <w:pStyle w:val="Paragraphedeliste"/>
        <w:numPr>
          <w:ilvl w:val="0"/>
          <w:numId w:val="9"/>
        </w:numPr>
        <w:shd w:val="clear" w:color="auto" w:fill="D9F2D0"/>
        <w:ind w:left="1077" w:hanging="357"/>
        <w:rPr>
          <w:rFonts w:ascii="Arial" w:hAnsi="Arial" w:cs="Arial"/>
          <w:sz w:val="24"/>
          <w:szCs w:val="24"/>
        </w:rPr>
      </w:pPr>
      <w:r>
        <w:rPr>
          <w:rFonts w:ascii="Arial" w:hAnsi="Arial"/>
          <w:sz w:val="24"/>
          <w:bdr w:val="nil"/>
        </w:rPr>
        <w:t>Inklusive Kinderbetreuung und außerschulische Aktivitäten</w:t>
      </w:r>
    </w:p>
    <w:p w14:paraId="17E74116" w14:textId="77777777" w:rsidR="002D4FDD" w:rsidRPr="006001E0" w:rsidRDefault="00624628" w:rsidP="002D4FDD">
      <w:pPr>
        <w:pStyle w:val="Paragraphedeliste"/>
        <w:numPr>
          <w:ilvl w:val="0"/>
          <w:numId w:val="9"/>
        </w:numPr>
        <w:shd w:val="clear" w:color="auto" w:fill="D9F2D0"/>
        <w:ind w:left="1077" w:hanging="357"/>
        <w:rPr>
          <w:rFonts w:ascii="Arial" w:hAnsi="Arial" w:cs="Arial"/>
          <w:sz w:val="24"/>
          <w:szCs w:val="24"/>
        </w:rPr>
      </w:pPr>
      <w:r>
        <w:rPr>
          <w:rFonts w:ascii="Arial" w:hAnsi="Arial"/>
          <w:sz w:val="24"/>
          <w:bdr w:val="nil"/>
        </w:rPr>
        <w:t>Programme zur Unterstützung von Personen mit Behinderungen beim Zugang zu Wohnraum</w:t>
      </w:r>
    </w:p>
    <w:p w14:paraId="1DB8AE14" w14:textId="77777777" w:rsidR="002D4FDD" w:rsidRPr="006001E0" w:rsidRDefault="00624628" w:rsidP="002D4FDD">
      <w:pPr>
        <w:pStyle w:val="Paragraphedeliste"/>
        <w:numPr>
          <w:ilvl w:val="0"/>
          <w:numId w:val="9"/>
        </w:numPr>
        <w:shd w:val="clear" w:color="auto" w:fill="D9F2D0"/>
        <w:ind w:left="1077" w:hanging="357"/>
        <w:rPr>
          <w:rFonts w:ascii="Arial" w:hAnsi="Arial" w:cs="Arial"/>
          <w:sz w:val="24"/>
          <w:szCs w:val="24"/>
        </w:rPr>
      </w:pPr>
      <w:r>
        <w:rPr>
          <w:rFonts w:ascii="Arial" w:hAnsi="Arial"/>
          <w:sz w:val="24"/>
          <w:bdr w:val="nil"/>
        </w:rPr>
        <w:t>Kampagnen zur Förderung der Betreuung von Personen als Beruf</w:t>
      </w:r>
    </w:p>
    <w:p w14:paraId="50FAFAE0" w14:textId="77777777" w:rsidR="002D4FDD" w:rsidRPr="006001E0" w:rsidRDefault="00624628" w:rsidP="002D4FDD">
      <w:pPr>
        <w:pStyle w:val="Paragraphedeliste"/>
        <w:numPr>
          <w:ilvl w:val="0"/>
          <w:numId w:val="9"/>
        </w:numPr>
        <w:shd w:val="clear" w:color="auto" w:fill="D9F2D0"/>
        <w:ind w:left="1077" w:hanging="357"/>
        <w:rPr>
          <w:rFonts w:ascii="Arial" w:hAnsi="Arial" w:cs="Arial"/>
          <w:sz w:val="24"/>
          <w:szCs w:val="24"/>
        </w:rPr>
      </w:pPr>
      <w:r>
        <w:rPr>
          <w:rFonts w:ascii="Arial" w:hAnsi="Arial"/>
          <w:sz w:val="24"/>
          <w:bdr w:val="nil"/>
        </w:rPr>
        <w:t>Programme, die es Menschen mit Behinderungen erleichtern, persönliche Assistenten einzustellen (z. B. Online-Plattformen/Pools, die von den Zentren für selbstbestimmtes Leben betrieben werden).</w:t>
      </w:r>
    </w:p>
    <w:p w14:paraId="47773366" w14:textId="77777777" w:rsidR="002D4FDD" w:rsidRDefault="00624628" w:rsidP="002D4FDD">
      <w:pPr>
        <w:shd w:val="clear" w:color="auto" w:fill="D9F2D0"/>
        <w:rPr>
          <w:rFonts w:cs="Arial"/>
          <w:sz w:val="24"/>
          <w:szCs w:val="24"/>
        </w:rPr>
      </w:pPr>
      <w:r>
        <w:rPr>
          <w:sz w:val="24"/>
          <w:bdr w:val="nil"/>
        </w:rPr>
        <w:t xml:space="preserve">Im nächsten mehrjährigen Finanzrahmen muss das Budget des Sozialfonds aufgestockt werden, um die wichtige Rolle widerzuspiegeln, die er bei der Unterstützung eines selbstbestimmten Lebens und der Eingliederung von Menschen mit Behinderungen in die Gemeinschaft spielen kann. </w:t>
      </w:r>
    </w:p>
    <w:p w14:paraId="42FBA998" w14:textId="77777777" w:rsidR="002D4FDD" w:rsidRPr="003E2D61" w:rsidRDefault="002D4FDD" w:rsidP="002D4FDD">
      <w:pPr>
        <w:rPr>
          <w:rFonts w:cs="Arial"/>
          <w:sz w:val="24"/>
          <w:szCs w:val="24"/>
        </w:rPr>
      </w:pPr>
    </w:p>
    <w:p w14:paraId="4BA60861" w14:textId="77777777" w:rsidR="002D4FDD" w:rsidRPr="00FE36CA" w:rsidRDefault="00624628" w:rsidP="002D4FDD">
      <w:pPr>
        <w:pStyle w:val="Titre4"/>
        <w:shd w:val="clear" w:color="auto" w:fill="D9F2D0"/>
        <w:rPr>
          <w:i/>
          <w:iCs w:val="0"/>
        </w:rPr>
      </w:pPr>
      <w:r>
        <w:rPr>
          <w:bdr w:val="nil"/>
        </w:rPr>
        <w:t>Den Europäischen Fonds für regionale Entwicklung nutzen, um die Zugänglichkeit öffentlicher Räume zu verbessern und die Zahl der barrierefreien Wohnungen zu erhöhen.</w:t>
      </w:r>
    </w:p>
    <w:p w14:paraId="3B9C5B1D" w14:textId="77777777" w:rsidR="002D4FDD" w:rsidRDefault="00624628" w:rsidP="002D4FDD">
      <w:pPr>
        <w:shd w:val="clear" w:color="auto" w:fill="D9F2D0"/>
        <w:rPr>
          <w:rFonts w:cs="Arial"/>
          <w:sz w:val="24"/>
          <w:szCs w:val="24"/>
        </w:rPr>
      </w:pPr>
      <w:r>
        <w:rPr>
          <w:sz w:val="24"/>
          <w:bdr w:val="nil"/>
        </w:rPr>
        <w:t xml:space="preserve">Die Gelder aus dem Fonds für regionale Entwicklung und dem Kohäsionsfonds sollten als oberste Priorität dazu verwendet werden, öffentliche Räume und öffentliche Verkehrsmittel für Menschen mit Behinderungen vollständig zugänglich zu machen. Diese Investition in die Barrierefreiheit sollte als Investition in die soziale Eingliederung und als Schlüsselfaktor für ein selbstbestimmtes Leben betrachtet werden. </w:t>
      </w:r>
      <w:r>
        <w:rPr>
          <w:bdr w:val="nil"/>
        </w:rPr>
        <w:br/>
      </w:r>
      <w:r>
        <w:rPr>
          <w:bdr w:val="nil"/>
        </w:rPr>
        <w:br/>
      </w:r>
      <w:r>
        <w:rPr>
          <w:sz w:val="24"/>
          <w:bdr w:val="nil"/>
        </w:rPr>
        <w:t>Der Fonds für regionale Entwicklung und der Kohäsionsfonds sollten ebenfalls genutzt werden, um die Verfügbarkeit von barrierefreien Wohnungen in der Gemeinschaft zu erhöhen.</w:t>
      </w:r>
    </w:p>
    <w:p w14:paraId="78603442" w14:textId="77777777" w:rsidR="002D4FDD" w:rsidRDefault="00624628" w:rsidP="002D4FDD">
      <w:pPr>
        <w:shd w:val="clear" w:color="auto" w:fill="D9F2D0"/>
        <w:rPr>
          <w:rFonts w:cs="Arial"/>
          <w:sz w:val="24"/>
          <w:szCs w:val="24"/>
        </w:rPr>
      </w:pPr>
      <w:r>
        <w:rPr>
          <w:sz w:val="24"/>
          <w:bdr w:val="nil"/>
        </w:rPr>
        <w:t>Die Europäische Kommission muss sicherstellen, dass jede interne oder externe Anleitung zur Verwendung des EFRE und anderer Fonds ein absolutes Verbot von Investitionen in Einrichtungen im Einklang mit der UN-BRK beinhaltet.</w:t>
      </w:r>
    </w:p>
    <w:p w14:paraId="1DC1C82E" w14:textId="77777777" w:rsidR="002D4FDD" w:rsidRDefault="002D4FDD" w:rsidP="002D4FDD">
      <w:pPr>
        <w:rPr>
          <w:rFonts w:cs="Arial"/>
          <w:sz w:val="24"/>
          <w:szCs w:val="24"/>
        </w:rPr>
      </w:pPr>
    </w:p>
    <w:p w14:paraId="2E295E76" w14:textId="77777777" w:rsidR="002D4FDD" w:rsidRDefault="00624628" w:rsidP="002D4FDD">
      <w:pPr>
        <w:pStyle w:val="Titre4"/>
        <w:shd w:val="clear" w:color="auto" w:fill="D9F2D0"/>
        <w:rPr>
          <w:i/>
        </w:rPr>
      </w:pPr>
      <w:r>
        <w:rPr>
          <w:bdr w:val="nil"/>
        </w:rPr>
        <w:t>Unterstützung der Mitgliedstaaten bei der Bewältigung der Kosten für den Übergang von Einrichtungen zu Nachbarschaftsdiensten</w:t>
      </w:r>
    </w:p>
    <w:p w14:paraId="04198EDE" w14:textId="77777777" w:rsidR="002D4FDD" w:rsidRDefault="00624628" w:rsidP="002D4FDD">
      <w:pPr>
        <w:shd w:val="clear" w:color="auto" w:fill="D9F2D0"/>
        <w:rPr>
          <w:rFonts w:cs="Arial"/>
          <w:sz w:val="24"/>
          <w:szCs w:val="24"/>
        </w:rPr>
      </w:pPr>
      <w:r>
        <w:rPr>
          <w:sz w:val="24"/>
          <w:bdr w:val="nil"/>
        </w:rPr>
        <w:t>Die Europäische Union sollte dabei helfen, die zusätzlichen Kosten zu tragen, die den Mitgliedstaaten beim Übergang von Einrichtungen zu einem selbstbestimmten Leben und der Einbeziehung in die Gemeinschaft entstehen. Dabei handelt es sich um die vorübergehende Erhöhung der Staatsausgaben, während die Einrichtungen parallel zu den zu ihrer Ersetzung eingerichteten Nachbarschaftsdiensten weiterbestehen. Während dieser Zeit ist es wichtig, nicht in den Erhalt oder die Renovierung von Einrichtungen für eine zukünftige Nutzung zu investieren und sich proaktiv von der Abhängigkeit von institutionellen Rahmen zu lösen.</w:t>
      </w:r>
      <w:r>
        <w:rPr>
          <w:bdr w:val="nil"/>
        </w:rPr>
        <w:br/>
      </w:r>
      <w:r>
        <w:rPr>
          <w:bdr w:val="nil"/>
        </w:rPr>
        <w:br/>
      </w:r>
      <w:r>
        <w:rPr>
          <w:sz w:val="24"/>
          <w:bdr w:val="nil"/>
        </w:rPr>
        <w:lastRenderedPageBreak/>
        <w:t xml:space="preserve">Diese Art der Unterstützung für die Mitgliedstaaten sollte im nächsten </w:t>
      </w:r>
      <w:hyperlink r:id="rId39">
        <w:r>
          <w:rPr>
            <w:color w:val="0000FF"/>
            <w:sz w:val="24"/>
            <w:u w:val="single"/>
            <w:bdr w:val="nil"/>
          </w:rPr>
          <w:t>meh</w:t>
        </w:r>
        <w:r>
          <w:rPr>
            <w:color w:val="0000FF"/>
            <w:sz w:val="24"/>
            <w:u w:val="single"/>
            <w:bdr w:val="nil"/>
          </w:rPr>
          <w:t>r</w:t>
        </w:r>
        <w:r>
          <w:rPr>
            <w:color w:val="0000FF"/>
            <w:sz w:val="24"/>
            <w:u w:val="single"/>
            <w:bdr w:val="nil"/>
          </w:rPr>
          <w:t>jährigen Finanzrahmen der EU</w:t>
        </w:r>
      </w:hyperlink>
      <w:r>
        <w:rPr>
          <w:sz w:val="24"/>
          <w:bdr w:val="nil"/>
        </w:rPr>
        <w:t xml:space="preserve"> und in seinem </w:t>
      </w:r>
      <w:hyperlink r:id="rId40" w:anchor=":~:text=The%20Technical%20Support%20Instrument%20helps,expert%20visits%20on%20the%20ground.">
        <w:r>
          <w:rPr>
            <w:color w:val="0000FF"/>
            <w:sz w:val="24"/>
            <w:u w:val="single"/>
            <w:bdr w:val="nil"/>
          </w:rPr>
          <w:t>Instrument für technische Unterstützung</w:t>
        </w:r>
      </w:hyperlink>
      <w:r>
        <w:rPr>
          <w:sz w:val="24"/>
          <w:bdr w:val="nil"/>
        </w:rPr>
        <w:t xml:space="preserve"> vorgesehen werden. </w:t>
      </w:r>
    </w:p>
    <w:p w14:paraId="638A7E63" w14:textId="77777777" w:rsidR="002D4FDD" w:rsidRPr="006001E0" w:rsidRDefault="002D4FDD" w:rsidP="002D4FDD">
      <w:pPr>
        <w:shd w:val="clear" w:color="auto" w:fill="FFFFFF"/>
        <w:rPr>
          <w:rFonts w:cs="Arial"/>
          <w:sz w:val="24"/>
          <w:szCs w:val="24"/>
        </w:rPr>
      </w:pPr>
    </w:p>
    <w:p w14:paraId="531F8E74" w14:textId="77777777" w:rsidR="002D4FDD" w:rsidRDefault="00624628" w:rsidP="002D4FDD">
      <w:pPr>
        <w:pStyle w:val="Titre3"/>
        <w:shd w:val="clear" w:color="auto" w:fill="D9F2D0"/>
      </w:pPr>
      <w:bookmarkStart w:id="61" w:name="_Toc161062614"/>
      <w:r>
        <w:rPr>
          <w:bdr w:val="nil"/>
        </w:rPr>
        <w:t>Unterstützung des Übergangs von Einrichtungen in den Ländern, die der EU beitreten, und darüber hinaus</w:t>
      </w:r>
      <w:bookmarkEnd w:id="61"/>
    </w:p>
    <w:p w14:paraId="7CA8E6F5" w14:textId="77777777" w:rsidR="002D4FDD" w:rsidRDefault="00624628" w:rsidP="002D4FDD">
      <w:pPr>
        <w:pStyle w:val="Titre4"/>
        <w:shd w:val="clear" w:color="auto" w:fill="D9F2D0"/>
      </w:pPr>
      <w:r>
        <w:rPr>
          <w:bdr w:val="nil"/>
        </w:rPr>
        <w:t>Hilfe bei der Heranführung</w:t>
      </w:r>
    </w:p>
    <w:p w14:paraId="76B137A4" w14:textId="77777777" w:rsidR="002D4FDD" w:rsidRDefault="00624628" w:rsidP="002D4FDD">
      <w:pPr>
        <w:shd w:val="clear" w:color="auto" w:fill="D9F2D0"/>
        <w:rPr>
          <w:rFonts w:cs="Arial"/>
          <w:sz w:val="24"/>
          <w:szCs w:val="24"/>
        </w:rPr>
      </w:pPr>
      <w:r>
        <w:rPr>
          <w:sz w:val="24"/>
          <w:bdr w:val="nil"/>
        </w:rPr>
        <w:t xml:space="preserve">Auch andere Finanzierungsmechanismen müssen genutzt werden, um die Umstellung von Einrichtungen auf ein selbstbestimmtes Leben und der Einbeziehung in die Gemeinschaft zu fördern. Dies ist besonders wichtig für die Finanzierung der </w:t>
      </w:r>
      <w:hyperlink r:id="rId41">
        <w:r>
          <w:rPr>
            <w:color w:val="0000FF"/>
            <w:sz w:val="24"/>
            <w:u w:val="single"/>
            <w:bdr w:val="nil"/>
          </w:rPr>
          <w:t>Heranführung</w:t>
        </w:r>
        <w:r>
          <w:rPr>
            <w:color w:val="0000FF"/>
            <w:sz w:val="24"/>
            <w:u w:val="single"/>
            <w:bdr w:val="nil"/>
          </w:rPr>
          <w:t>s</w:t>
        </w:r>
        <w:r>
          <w:rPr>
            <w:color w:val="0000FF"/>
            <w:sz w:val="24"/>
            <w:u w:val="single"/>
            <w:bdr w:val="nil"/>
          </w:rPr>
          <w:t>hilfe</w:t>
        </w:r>
      </w:hyperlink>
      <w:r>
        <w:rPr>
          <w:sz w:val="24"/>
          <w:bdr w:val="nil"/>
        </w:rPr>
        <w:t xml:space="preserve">, die für Länder bestimmt ist, die der Europäischen Union beitreten. Es muss klar sein, dass ein ernsthafter Ansatz für den Übergang von Einrichtungen zu einem selbstbestimmten Leben und der Einbeziehung in die Gemeinschaft eine Voraussetzung für den Beitritt zur EU ist. Dazu </w:t>
      </w:r>
      <w:proofErr w:type="gramStart"/>
      <w:r>
        <w:rPr>
          <w:sz w:val="24"/>
          <w:bdr w:val="nil"/>
        </w:rPr>
        <w:t>gehören</w:t>
      </w:r>
      <w:proofErr w:type="gramEnd"/>
      <w:r>
        <w:rPr>
          <w:sz w:val="24"/>
          <w:bdr w:val="nil"/>
        </w:rPr>
        <w:t xml:space="preserve"> die Kontrolle der Anzahl der Personen, die in Einrichtungen untergebracht sind, die Überwachung der Einhaltung der Menschenrechte und die Entwicklung einer Strategie für den Übergang vom Leben in einer Einrichtung zum Leben in einer Gemeinschaft).</w:t>
      </w:r>
    </w:p>
    <w:p w14:paraId="07B08B7D" w14:textId="77777777" w:rsidR="002D4FDD" w:rsidRPr="003E2D61" w:rsidRDefault="00624628" w:rsidP="002D4FDD">
      <w:pPr>
        <w:pStyle w:val="Titre4"/>
        <w:shd w:val="clear" w:color="auto" w:fill="D9F2D0"/>
      </w:pPr>
      <w:r>
        <w:rPr>
          <w:bdr w:val="nil"/>
        </w:rPr>
        <w:t>Instrument für Nachbarschaft, Entwicklung und internationale Zusammenarbeit</w:t>
      </w:r>
    </w:p>
    <w:p w14:paraId="1AE3E619" w14:textId="77777777" w:rsidR="002D4FDD" w:rsidRDefault="00624628" w:rsidP="002D4FDD">
      <w:pPr>
        <w:shd w:val="clear" w:color="auto" w:fill="D9F2D0"/>
        <w:rPr>
          <w:rFonts w:cs="Arial"/>
          <w:sz w:val="24"/>
          <w:szCs w:val="24"/>
        </w:rPr>
      </w:pPr>
      <w:r>
        <w:rPr>
          <w:sz w:val="24"/>
          <w:bdr w:val="nil"/>
        </w:rPr>
        <w:t xml:space="preserve">Die Regeln, die verhindern, dass EU-Gelder im institutionellen Rahmen ausgegeben werden, müssen weiterhin gelten, sobald das Geld über die Grenzen der EU hinaus verwendet wird. Es darf keinen Unterschied zwischen den Rechten von Menschen mit Behinderungen in Europa und darüber </w:t>
      </w:r>
      <w:proofErr w:type="gramStart"/>
      <w:r>
        <w:rPr>
          <w:sz w:val="24"/>
          <w:bdr w:val="nil"/>
        </w:rPr>
        <w:t>hinaus geben</w:t>
      </w:r>
      <w:proofErr w:type="gramEnd"/>
      <w:r>
        <w:rPr>
          <w:sz w:val="24"/>
          <w:bdr w:val="nil"/>
        </w:rPr>
        <w:t>. Die Förderung des selbstbestimmten Lebens in der Inklusion muss unabhängig von der Verwendung der EU-Mittel beibehalten werden. Die Unterstützung der vollständigen Eingliederung in die Gemeinschaft muss eines der Hauptziele bei der Verwendung von EU-Mitteln für die internationale Zusammenarbeit sein, insbesondere des Instrument für Nachbarschaft, Entwicklungszusammenarbeit und internationale Zusammenarbeit (NDICI)</w:t>
      </w:r>
      <w:hyperlink r:id="rId42" w:history="1">
        <w:r>
          <w:rPr>
            <w:color w:val="0000FF"/>
            <w:sz w:val="24"/>
            <w:u w:val="single"/>
            <w:bdr w:val="nil"/>
          </w:rPr>
          <w:t xml:space="preserve"> </w:t>
        </w:r>
      </w:hyperlink>
      <w:r>
        <w:rPr>
          <w:sz w:val="24"/>
          <w:bdr w:val="nil"/>
        </w:rPr>
        <w:t>.</w:t>
      </w:r>
    </w:p>
    <w:p w14:paraId="33FEFC96" w14:textId="77777777" w:rsidR="002D4FDD" w:rsidRPr="003E2D61" w:rsidRDefault="002D4FDD" w:rsidP="002D4FDD"/>
    <w:p w14:paraId="582CE679" w14:textId="77777777" w:rsidR="002D4FDD" w:rsidRPr="00FE36CA" w:rsidRDefault="00624628" w:rsidP="002D4FDD">
      <w:pPr>
        <w:pStyle w:val="Titre3"/>
        <w:shd w:val="clear" w:color="auto" w:fill="D9F2D0"/>
      </w:pPr>
      <w:bookmarkStart w:id="62" w:name="_Toc161062615"/>
      <w:r>
        <w:rPr>
          <w:bdr w:val="nil"/>
        </w:rPr>
        <w:t>Kontrolle der Verwendung von EU-Mitteln zur Unterstützung des selbstbestimmten Lebens</w:t>
      </w:r>
      <w:bookmarkEnd w:id="62"/>
    </w:p>
    <w:p w14:paraId="4D92A3F2" w14:textId="77777777" w:rsidR="002D4FDD" w:rsidRPr="00771E65" w:rsidRDefault="00624628" w:rsidP="002D4FDD">
      <w:pPr>
        <w:shd w:val="clear" w:color="auto" w:fill="D9F2D0"/>
        <w:rPr>
          <w:rFonts w:cs="Arial"/>
          <w:sz w:val="24"/>
          <w:szCs w:val="24"/>
        </w:rPr>
      </w:pPr>
      <w:r>
        <w:rPr>
          <w:sz w:val="24"/>
          <w:bdr w:val="nil"/>
        </w:rPr>
        <w:t xml:space="preserve">Es sollte ein Bericht über die Höhe der EU-Mittel erstellt werden, die für Projekte zur Förderung des selbstbestimmten Lebens in den EU-Mitgliedstaaten bereitgestellt wurden, und es sollte festgestellt werden, inwieweit diese Projekte mit der UN-BRK und der Allgemeinen Bemerkung Nr. 5 der Vereinten Nationen in Einklang stehen. Der Bericht sollte den Umfang der bisherigen Finanzierung beschreiben, die Orte, an denen sie stattgefunden hat, sowie Beispiele dafür, wie die finanzierten Maßnahmen den Übergang zur Inklusion in der Gemeinschaft gefördert haben. </w:t>
      </w:r>
      <w:r>
        <w:rPr>
          <w:bdr w:val="nil"/>
        </w:rPr>
        <w:br/>
      </w:r>
      <w:r>
        <w:rPr>
          <w:bdr w:val="nil"/>
        </w:rPr>
        <w:br/>
      </w:r>
      <w:r>
        <w:rPr>
          <w:sz w:val="24"/>
          <w:bdr w:val="nil"/>
        </w:rPr>
        <w:t xml:space="preserve">Auch die Umsetzung der aktuellen </w:t>
      </w:r>
      <w:hyperlink r:id="rId43">
        <w:r>
          <w:rPr>
            <w:color w:val="0000FF"/>
            <w:sz w:val="24"/>
            <w:u w:val="single"/>
            <w:bdr w:val="nil"/>
          </w:rPr>
          <w:t>Verordnung mit gemeinsamen Bestimmun</w:t>
        </w:r>
        <w:r>
          <w:rPr>
            <w:color w:val="0000FF"/>
            <w:sz w:val="24"/>
            <w:u w:val="single"/>
            <w:bdr w:val="nil"/>
          </w:rPr>
          <w:t>g</w:t>
        </w:r>
        <w:r>
          <w:rPr>
            <w:color w:val="0000FF"/>
            <w:sz w:val="24"/>
            <w:u w:val="single"/>
            <w:bdr w:val="nil"/>
          </w:rPr>
          <w:t>en</w:t>
        </w:r>
      </w:hyperlink>
      <w:r>
        <w:rPr>
          <w:sz w:val="24"/>
          <w:bdr w:val="nil"/>
        </w:rPr>
        <w:t xml:space="preserve">, die die Nutzung einer Reihe von wichtigen EU-Fonds für die Eingliederung von Menschen mit </w:t>
      </w:r>
      <w:r>
        <w:rPr>
          <w:sz w:val="24"/>
          <w:bdr w:val="nil"/>
        </w:rPr>
        <w:lastRenderedPageBreak/>
        <w:t xml:space="preserve">Behinderungen regelt, muss einer strengen Prüfung unterzogen werden. Besondere Aufmerksamkeit sollte der Art und Weise gewidmet werden, in der Behindertenorganisationen in die Auswahl und Überwachung von Vorhaben einbezogen werden (Artikel 8), sowie den Regeln zur Gewährleistung der Zugänglichkeit für Menschen mit Behinderungen (Artikel 73). </w:t>
      </w:r>
    </w:p>
    <w:p w14:paraId="0DA85BA6" w14:textId="77777777" w:rsidR="002D4FDD" w:rsidRDefault="002D4FDD" w:rsidP="002D4FDD">
      <w:pPr>
        <w:shd w:val="clear" w:color="auto" w:fill="FFFFFF"/>
        <w:rPr>
          <w:rFonts w:cs="Arial"/>
        </w:rPr>
      </w:pPr>
    </w:p>
    <w:p w14:paraId="0ED0B5E4" w14:textId="77777777" w:rsidR="002D4FDD" w:rsidRDefault="00624628" w:rsidP="002D4FDD">
      <w:pPr>
        <w:pStyle w:val="Titre3"/>
        <w:shd w:val="clear" w:color="auto" w:fill="D9F2D0"/>
      </w:pPr>
      <w:bookmarkStart w:id="63" w:name="_Toc161062616"/>
      <w:r>
        <w:rPr>
          <w:bdr w:val="nil"/>
        </w:rPr>
        <w:t>Europäisches Semester</w:t>
      </w:r>
      <w:bookmarkEnd w:id="63"/>
    </w:p>
    <w:p w14:paraId="77DEA359" w14:textId="77777777" w:rsidR="002D4FDD" w:rsidRPr="00771E65" w:rsidRDefault="00624628" w:rsidP="002D4FDD">
      <w:pPr>
        <w:shd w:val="clear" w:color="auto" w:fill="D9F2D0"/>
        <w:rPr>
          <w:rFonts w:cs="Arial"/>
          <w:sz w:val="24"/>
          <w:szCs w:val="24"/>
        </w:rPr>
      </w:pPr>
      <w:r>
        <w:rPr>
          <w:sz w:val="24"/>
          <w:bdr w:val="nil"/>
        </w:rPr>
        <w:t xml:space="preserve">Das </w:t>
      </w:r>
      <w:hyperlink r:id="rId44">
        <w:r>
          <w:rPr>
            <w:color w:val="0000FF"/>
            <w:sz w:val="24"/>
            <w:u w:val="single"/>
            <w:bdr w:val="nil"/>
          </w:rPr>
          <w:t>Europäische Semes</w:t>
        </w:r>
        <w:r>
          <w:rPr>
            <w:color w:val="0000FF"/>
            <w:sz w:val="24"/>
            <w:u w:val="single"/>
            <w:bdr w:val="nil"/>
          </w:rPr>
          <w:t>t</w:t>
        </w:r>
        <w:r>
          <w:rPr>
            <w:color w:val="0000FF"/>
            <w:sz w:val="24"/>
            <w:u w:val="single"/>
            <w:bdr w:val="nil"/>
          </w:rPr>
          <w:t>er</w:t>
        </w:r>
      </w:hyperlink>
      <w:r>
        <w:rPr>
          <w:sz w:val="24"/>
          <w:bdr w:val="nil"/>
        </w:rPr>
        <w:t xml:space="preserve"> muss zunehmend als Instrument genutzt werden, um die Mitgliedstaaten von der Abhängigkeit von den Einrichtungen weg und hin zur Unterstützung eines selbstbestimmten Lebens und der Einbeziehung in die Gemeinschaft zu führen. Dies wird durch eine bessere Datenerfassung erleichtert, die eine genauere Überwachung der Fortschritte ermöglicht. </w:t>
      </w:r>
      <w:r>
        <w:rPr>
          <w:bdr w:val="nil"/>
        </w:rPr>
        <w:br/>
      </w:r>
      <w:r>
        <w:rPr>
          <w:bdr w:val="nil"/>
        </w:rPr>
        <w:br/>
      </w:r>
      <w:r>
        <w:rPr>
          <w:sz w:val="24"/>
          <w:bdr w:val="nil"/>
        </w:rPr>
        <w:t>Die Europäische Kommission muss betonen, dass sie Investitionen in Nachbarschaftsdienste und dem Prozess der Deinstitutionalisierung Priorität einräumt. Dies sollte durch konkrete Empfehlungen und klare Ziele, die von den Mitgliedstaaten erreicht werden sollen, unterstrichen werden. Das Semester ist auch ein nützliches Instrument, um die Mitgliedstaaten bei der Verwendung von EU-Mitteln zu leiten. Aus diesem Grund ist es von entscheidender Bedeutung, dass die Deinstitutionalisierung in den Empfehlungen viel stärker berücksichtigt wird.</w:t>
      </w:r>
    </w:p>
    <w:p w14:paraId="332D7E06" w14:textId="77777777" w:rsidR="002D4FDD" w:rsidRPr="00DF2DD2" w:rsidRDefault="002D4FDD" w:rsidP="002D4FDD">
      <w:pPr>
        <w:shd w:val="clear" w:color="auto" w:fill="FFFFFF"/>
        <w:rPr>
          <w:rFonts w:cs="Arial"/>
        </w:rPr>
      </w:pPr>
      <w:r>
        <w:t xml:space="preserve"> </w:t>
      </w:r>
    </w:p>
    <w:p w14:paraId="73488D36" w14:textId="77777777" w:rsidR="002D4FDD" w:rsidRPr="00FE36CA" w:rsidRDefault="00624628" w:rsidP="002D4FDD">
      <w:pPr>
        <w:pStyle w:val="Titre3"/>
        <w:shd w:val="clear" w:color="auto" w:fill="D9F2D0"/>
      </w:pPr>
      <w:bookmarkStart w:id="64" w:name="_Toc161062617"/>
      <w:r>
        <w:rPr>
          <w:bdr w:val="nil"/>
        </w:rPr>
        <w:t>Warn- und Beschwerdemechanismus für EU-Mittel</w:t>
      </w:r>
      <w:bookmarkEnd w:id="64"/>
    </w:p>
    <w:p w14:paraId="415E3313" w14:textId="77777777" w:rsidR="002D4FDD" w:rsidRDefault="00624628" w:rsidP="002D4FDD">
      <w:pPr>
        <w:shd w:val="clear" w:color="auto" w:fill="D9F2D0"/>
        <w:rPr>
          <w:rFonts w:cs="Arial"/>
          <w:sz w:val="24"/>
          <w:szCs w:val="24"/>
        </w:rPr>
      </w:pPr>
      <w:r>
        <w:rPr>
          <w:sz w:val="24"/>
          <w:bdr w:val="nil"/>
        </w:rPr>
        <w:t>Es sollte für alle Bürger einfacher sein, sich mit der Europäischen Kommission in Verbindung zu setzen, um sie auf Fälle aufmerksam zu machen, in denen EU-Mittel in einer Weise verwendet werden, die die Ausgrenzung von Menschen mit Behinderungen verstärkt.</w:t>
      </w:r>
      <w:r>
        <w:rPr>
          <w:bdr w:val="nil"/>
        </w:rPr>
        <w:br/>
      </w:r>
      <w:r>
        <w:rPr>
          <w:sz w:val="24"/>
          <w:bdr w:val="nil"/>
        </w:rPr>
        <w:t xml:space="preserve"> </w:t>
      </w:r>
      <w:r>
        <w:rPr>
          <w:bdr w:val="nil"/>
        </w:rPr>
        <w:br/>
      </w:r>
      <w:r>
        <w:rPr>
          <w:sz w:val="24"/>
          <w:bdr w:val="nil"/>
        </w:rPr>
        <w:t xml:space="preserve">Die Kommission muss ihr Online-Beschwerdeformular für </w:t>
      </w:r>
      <w:hyperlink r:id="rId45" w:history="1">
        <w:r>
          <w:rPr>
            <w:color w:val="0000FF"/>
            <w:sz w:val="24"/>
            <w:u w:val="single"/>
            <w:bdr w:val="nil"/>
          </w:rPr>
          <w:t>Verstöße gegen das EU-R</w:t>
        </w:r>
        <w:r>
          <w:rPr>
            <w:color w:val="0000FF"/>
            <w:sz w:val="24"/>
            <w:u w:val="single"/>
            <w:bdr w:val="nil"/>
          </w:rPr>
          <w:t>e</w:t>
        </w:r>
        <w:r>
          <w:rPr>
            <w:color w:val="0000FF"/>
            <w:sz w:val="24"/>
            <w:u w:val="single"/>
            <w:bdr w:val="nil"/>
          </w:rPr>
          <w:t>cht</w:t>
        </w:r>
      </w:hyperlink>
      <w:r>
        <w:rPr>
          <w:sz w:val="24"/>
          <w:bdr w:val="nil"/>
        </w:rPr>
        <w:t xml:space="preserve"> besser bekannt machen und sicherstellen, dass Antworten rechtzeitig an die Personen gesendet werden, die ihre Bedenken geäußert haben, und zwar in einer leicht verständlichen Weise, die es dem Beschwerdeführer ermöglicht, zu verstehen, welche Maßnahmen ergriffen werden und welche Schritte unmittelbar folgen. </w:t>
      </w:r>
    </w:p>
    <w:p w14:paraId="55DA2D74" w14:textId="77777777" w:rsidR="002D4FDD" w:rsidRDefault="00624628" w:rsidP="002D4FDD">
      <w:pPr>
        <w:shd w:val="clear" w:color="auto" w:fill="D9F2D0"/>
        <w:rPr>
          <w:rFonts w:cs="Arial"/>
          <w:sz w:val="24"/>
          <w:szCs w:val="24"/>
        </w:rPr>
      </w:pPr>
      <w:r>
        <w:rPr>
          <w:sz w:val="24"/>
          <w:bdr w:val="nil"/>
        </w:rPr>
        <w:t>Es ist nicht zu erwarten, dass die Bürger durch die interne Struktur der Europäischen Kommission navigieren, um ihre Bedenken bezüglich der von der EU finanzierten Einrichtungen zu äußern. Der gesamte Prozess muss vereinfacht und den normalen Bürgern vermittelt werden.</w:t>
      </w:r>
      <w:r>
        <w:rPr>
          <w:bdr w:val="nil"/>
        </w:rPr>
        <w:t xml:space="preserve"> </w:t>
      </w:r>
      <w:r>
        <w:rPr>
          <w:sz w:val="24"/>
          <w:bdr w:val="nil"/>
        </w:rPr>
        <w:t>Auch das Büro des Europäischen Bürgerbeauftragten muss in den Prozess einbezogen werden und Zugang zu allen Beschwerden haben.</w:t>
      </w:r>
    </w:p>
    <w:p w14:paraId="2E0E94E8" w14:textId="77777777" w:rsidR="002D4FDD" w:rsidRDefault="00624628" w:rsidP="002D4FDD">
      <w:pPr>
        <w:shd w:val="clear" w:color="auto" w:fill="D9F2D0"/>
        <w:rPr>
          <w:rFonts w:cs="Arial"/>
          <w:sz w:val="24"/>
          <w:szCs w:val="24"/>
        </w:rPr>
      </w:pPr>
      <w:r>
        <w:rPr>
          <w:sz w:val="24"/>
          <w:bdr w:val="nil"/>
        </w:rPr>
        <w:t xml:space="preserve">Die Antworten der Kommission auf Beschwerden müssen die Verpflichtungen der EU als Vertragsstaat der UN-BRK berücksichtigen und zu sofortigen Maßnahmen gegen alle von der </w:t>
      </w:r>
      <w:r>
        <w:rPr>
          <w:sz w:val="24"/>
          <w:bdr w:val="nil"/>
        </w:rPr>
        <w:lastRenderedPageBreak/>
        <w:t xml:space="preserve">EU finanzierten Aktivitäten führen, die gegen die Rechte von Menschen mit Behinderungen verstoßen. </w:t>
      </w:r>
    </w:p>
    <w:p w14:paraId="007352FD" w14:textId="77777777" w:rsidR="002D4FDD" w:rsidRDefault="002D4FDD" w:rsidP="002D4FDD">
      <w:pPr>
        <w:rPr>
          <w:rFonts w:cs="Arial"/>
          <w:sz w:val="24"/>
          <w:szCs w:val="24"/>
        </w:rPr>
      </w:pPr>
    </w:p>
    <w:p w14:paraId="63436B0E" w14:textId="77777777" w:rsidR="002D4FDD" w:rsidRDefault="00624628" w:rsidP="002D4FDD">
      <w:pPr>
        <w:pStyle w:val="Titre2"/>
        <w:rPr>
          <w:rFonts w:cs="Arial"/>
          <w:b w:val="0"/>
        </w:rPr>
      </w:pPr>
      <w:bookmarkStart w:id="65" w:name="_Toc161062618"/>
      <w:r>
        <w:rPr>
          <w:bdr w:val="nil"/>
        </w:rPr>
        <w:t>Über das Europäische Behindertenforum</w:t>
      </w:r>
      <w:bookmarkEnd w:id="65"/>
    </w:p>
    <w:p w14:paraId="2C6EEC4D" w14:textId="77777777" w:rsidR="002D4FDD" w:rsidRDefault="00624628" w:rsidP="002D4FDD">
      <w:pPr>
        <w:rPr>
          <w:rFonts w:cs="Arial"/>
          <w:sz w:val="24"/>
          <w:szCs w:val="24"/>
        </w:rPr>
      </w:pPr>
      <w:r>
        <w:rPr>
          <w:sz w:val="24"/>
          <w:bdr w:val="nil"/>
        </w:rPr>
        <w:t xml:space="preserve">Das Europäische Behindertenforum (EDF) ist eine Dachorganisation für Menschen mit Behinderungen, die sich für die Rechte von über 100 Millionen Menschen mit Behinderungen in Europa einsetzt. </w:t>
      </w:r>
    </w:p>
    <w:p w14:paraId="366C20B6" w14:textId="77777777" w:rsidR="002D4FDD" w:rsidRDefault="00624628" w:rsidP="002D4FDD">
      <w:pPr>
        <w:rPr>
          <w:rFonts w:cs="Arial"/>
          <w:sz w:val="24"/>
          <w:szCs w:val="24"/>
        </w:rPr>
      </w:pPr>
      <w:r>
        <w:rPr>
          <w:sz w:val="24"/>
          <w:bdr w:val="nil"/>
        </w:rPr>
        <w:t>Es handelt sich um eine unabhängige Nichtregierungsorganisation (NRO), die repräsentative Organisationen von Menschen mit Behinderungen aus ganz Europa vereint.</w:t>
      </w:r>
    </w:p>
    <w:p w14:paraId="6D2FBEAE" w14:textId="77777777" w:rsidR="002D4FDD" w:rsidRDefault="00624628" w:rsidP="002D4FDD">
      <w:pPr>
        <w:rPr>
          <w:rFonts w:cs="Arial"/>
          <w:sz w:val="24"/>
          <w:szCs w:val="24"/>
        </w:rPr>
      </w:pPr>
      <w:r>
        <w:rPr>
          <w:sz w:val="24"/>
          <w:bdr w:val="nil"/>
        </w:rPr>
        <w:t>Es wird von Menschen mit Behinderungen und ihren Familien betrieben. Es verleiht Menschen mit Behinderungen in Europa eine Stimme.</w:t>
      </w:r>
    </w:p>
    <w:p w14:paraId="5BB30DDF" w14:textId="77777777" w:rsidR="002D4FDD" w:rsidRDefault="002D4FDD" w:rsidP="002D4FDD">
      <w:pPr>
        <w:rPr>
          <w:rFonts w:cs="Arial"/>
          <w:sz w:val="24"/>
          <w:szCs w:val="24"/>
        </w:rPr>
      </w:pPr>
    </w:p>
    <w:p w14:paraId="7F281D2B" w14:textId="77777777" w:rsidR="002D4FDD" w:rsidRDefault="00624628" w:rsidP="002D4FDD">
      <w:pPr>
        <w:pStyle w:val="Titre2"/>
      </w:pPr>
      <w:bookmarkStart w:id="66" w:name="_Toc161062619"/>
      <w:r>
        <w:rPr>
          <w:bdr w:val="nil"/>
        </w:rPr>
        <w:t>Empfohlene Ressourcen</w:t>
      </w:r>
      <w:bookmarkEnd w:id="66"/>
    </w:p>
    <w:p w14:paraId="40F3EFCF" w14:textId="77777777" w:rsidR="002D4FDD" w:rsidRDefault="00000000" w:rsidP="002D4FDD">
      <w:pPr>
        <w:pStyle w:val="Paragraphedeliste"/>
        <w:numPr>
          <w:ilvl w:val="0"/>
          <w:numId w:val="2"/>
        </w:numPr>
        <w:rPr>
          <w:rFonts w:ascii="Arial" w:eastAsia="Arial" w:hAnsi="Arial" w:cs="Arial"/>
          <w:sz w:val="24"/>
          <w:szCs w:val="24"/>
        </w:rPr>
      </w:pPr>
      <w:hyperlink r:id="rId46">
        <w:r w:rsidR="002D4FDD">
          <w:rPr>
            <w:rFonts w:ascii="Arial" w:hAnsi="Arial"/>
            <w:color w:val="0000FF"/>
            <w:sz w:val="24"/>
            <w:u w:val="single"/>
            <w:bdr w:val="nil"/>
          </w:rPr>
          <w:t>Übereinkommen über die Rechte von Mensche</w:t>
        </w:r>
        <w:r w:rsidR="002D4FDD">
          <w:rPr>
            <w:rFonts w:ascii="Arial" w:hAnsi="Arial"/>
            <w:color w:val="0000FF"/>
            <w:sz w:val="24"/>
            <w:u w:val="single"/>
            <w:bdr w:val="nil"/>
          </w:rPr>
          <w:t>n</w:t>
        </w:r>
        <w:r w:rsidR="002D4FDD">
          <w:rPr>
            <w:rFonts w:ascii="Arial" w:hAnsi="Arial"/>
            <w:color w:val="0000FF"/>
            <w:sz w:val="24"/>
            <w:u w:val="single"/>
            <w:bdr w:val="nil"/>
          </w:rPr>
          <w:t xml:space="preserve"> mit Behinderungen, Artikel 19</w:t>
        </w:r>
      </w:hyperlink>
    </w:p>
    <w:p w14:paraId="6943B555" w14:textId="77777777" w:rsidR="002D4FDD" w:rsidRDefault="00000000" w:rsidP="002D4FDD">
      <w:pPr>
        <w:pStyle w:val="Paragraphedeliste"/>
        <w:numPr>
          <w:ilvl w:val="0"/>
          <w:numId w:val="2"/>
        </w:numPr>
        <w:rPr>
          <w:rFonts w:ascii="Arial" w:eastAsia="Arial" w:hAnsi="Arial" w:cs="Arial"/>
          <w:sz w:val="24"/>
          <w:szCs w:val="24"/>
        </w:rPr>
      </w:pPr>
      <w:hyperlink r:id="rId47">
        <w:r w:rsidR="002D4FDD">
          <w:rPr>
            <w:rFonts w:ascii="Arial" w:hAnsi="Arial"/>
            <w:color w:val="0000FF"/>
            <w:sz w:val="24"/>
            <w:u w:val="single"/>
            <w:bdr w:val="nil"/>
          </w:rPr>
          <w:t>Übereinkommen über die Rechte von Me</w:t>
        </w:r>
        <w:r w:rsidR="002D4FDD">
          <w:rPr>
            <w:rFonts w:ascii="Arial" w:hAnsi="Arial"/>
            <w:color w:val="0000FF"/>
            <w:sz w:val="24"/>
            <w:u w:val="single"/>
            <w:bdr w:val="nil"/>
          </w:rPr>
          <w:t>n</w:t>
        </w:r>
        <w:r w:rsidR="002D4FDD">
          <w:rPr>
            <w:rFonts w:ascii="Arial" w:hAnsi="Arial"/>
            <w:color w:val="0000FF"/>
            <w:sz w:val="24"/>
            <w:u w:val="single"/>
            <w:bdr w:val="nil"/>
          </w:rPr>
          <w:t>schen mit Behinderungen, Allgemeine Bemerkung Nr. 5 zu Artikel 19 - das Recht auf ein selbstbestimmtes Leben und auf Einbeziehung in die Gemeinschaft.</w:t>
        </w:r>
      </w:hyperlink>
    </w:p>
    <w:p w14:paraId="6590759D" w14:textId="77777777" w:rsidR="002D4FDD" w:rsidRDefault="00000000" w:rsidP="002D4FDD">
      <w:pPr>
        <w:pStyle w:val="Paragraphedeliste"/>
        <w:numPr>
          <w:ilvl w:val="0"/>
          <w:numId w:val="2"/>
        </w:numPr>
        <w:rPr>
          <w:rFonts w:ascii="Arial" w:eastAsia="Arial" w:hAnsi="Arial" w:cs="Arial"/>
          <w:sz w:val="24"/>
          <w:szCs w:val="24"/>
        </w:rPr>
      </w:pPr>
      <w:hyperlink r:id="rId48">
        <w:r w:rsidR="002D4FDD">
          <w:rPr>
            <w:rFonts w:ascii="Arial" w:hAnsi="Arial"/>
            <w:color w:val="0000FF"/>
            <w:sz w:val="24"/>
            <w:u w:val="single"/>
            <w:bdr w:val="nil"/>
          </w:rPr>
          <w:t>Leitlinien der Vereinten Nationen zur Deinstitutionalisierung, auch in Notsituationen (2022).</w:t>
        </w:r>
      </w:hyperlink>
    </w:p>
    <w:p w14:paraId="71FCEBE9" w14:textId="77777777" w:rsidR="002D4FDD" w:rsidRDefault="00000000" w:rsidP="002D4FDD">
      <w:pPr>
        <w:pStyle w:val="Paragraphedeliste"/>
        <w:numPr>
          <w:ilvl w:val="0"/>
          <w:numId w:val="2"/>
        </w:numPr>
        <w:rPr>
          <w:rFonts w:ascii="Arial" w:eastAsia="Arial" w:hAnsi="Arial" w:cs="Arial"/>
          <w:sz w:val="24"/>
          <w:szCs w:val="24"/>
        </w:rPr>
      </w:pPr>
      <w:hyperlink r:id="rId49">
        <w:r w:rsidR="002D4FDD">
          <w:rPr>
            <w:rFonts w:ascii="Arial" w:hAnsi="Arial"/>
            <w:color w:val="0000FF"/>
            <w:sz w:val="24"/>
            <w:u w:val="single"/>
            <w:bdr w:val="nil"/>
          </w:rPr>
          <w:t>Transformation von Dienstleistungen für Menschen mit Behinderungen (Januar 2023) - Bericht des UN-Sonderberichterstatters für die Rechte von Menschen mit Behinderungen.</w:t>
        </w:r>
      </w:hyperlink>
    </w:p>
    <w:p w14:paraId="0EF34EB8" w14:textId="77777777" w:rsidR="002D4FDD" w:rsidRDefault="00000000" w:rsidP="002D4FDD">
      <w:pPr>
        <w:pStyle w:val="Paragraphedeliste"/>
        <w:numPr>
          <w:ilvl w:val="0"/>
          <w:numId w:val="2"/>
        </w:numPr>
        <w:rPr>
          <w:rFonts w:ascii="Arial" w:eastAsia="Arial" w:hAnsi="Arial" w:cs="Arial"/>
          <w:sz w:val="24"/>
          <w:szCs w:val="24"/>
        </w:rPr>
      </w:pPr>
      <w:hyperlink r:id="rId50">
        <w:r w:rsidR="002D4FDD">
          <w:rPr>
            <w:rFonts w:ascii="Arial" w:hAnsi="Arial"/>
            <w:color w:val="0000FF"/>
            <w:sz w:val="24"/>
            <w:u w:val="single"/>
            <w:bdr w:val="nil"/>
          </w:rPr>
          <w:t>EU-Leitlinien für ein selbstbestimmtes Leben und die Einbeziehung in die Gemeinschaft - Europäische Expertengruppe zum Übergang von der Betreuung in einer Einrichtung zur lokalen Betreuung (2022).</w:t>
        </w:r>
      </w:hyperlink>
    </w:p>
    <w:p w14:paraId="271FB319" w14:textId="77777777" w:rsidR="002D4FDD" w:rsidRDefault="00000000" w:rsidP="002D4FDD">
      <w:pPr>
        <w:pStyle w:val="Paragraphedeliste"/>
        <w:numPr>
          <w:ilvl w:val="0"/>
          <w:numId w:val="2"/>
        </w:numPr>
        <w:rPr>
          <w:rFonts w:ascii="Arial" w:eastAsia="Arial" w:hAnsi="Arial" w:cs="Arial"/>
          <w:sz w:val="24"/>
          <w:szCs w:val="24"/>
        </w:rPr>
      </w:pPr>
      <w:hyperlink r:id="rId51">
        <w:r w:rsidR="002D4FDD">
          <w:rPr>
            <w:rFonts w:ascii="Arial" w:hAnsi="Arial"/>
            <w:color w:val="0000FF"/>
            <w:sz w:val="24"/>
            <w:u w:val="single"/>
            <w:bdr w:val="nil"/>
          </w:rPr>
          <w:t xml:space="preserve">Checkliste für EU-Mittel zur Förderung des selbstbestimmten Lebens und der Deinstitutionalisierung - Europäische Expertengruppe zum Übergang von der Betreuung in Einrichtungen zur Betreuung in der Gemeinschaft &amp; Hope and Homes </w:t>
        </w:r>
        <w:proofErr w:type="spellStart"/>
        <w:r w:rsidR="002D4FDD">
          <w:rPr>
            <w:rFonts w:ascii="Arial" w:hAnsi="Arial"/>
            <w:color w:val="0000FF"/>
            <w:sz w:val="24"/>
            <w:u w:val="single"/>
            <w:bdr w:val="nil"/>
          </w:rPr>
          <w:t>for</w:t>
        </w:r>
        <w:proofErr w:type="spellEnd"/>
        <w:r w:rsidR="002D4FDD">
          <w:rPr>
            <w:rFonts w:ascii="Arial" w:hAnsi="Arial"/>
            <w:color w:val="0000FF"/>
            <w:sz w:val="24"/>
            <w:u w:val="single"/>
            <w:bdr w:val="nil"/>
          </w:rPr>
          <w:t xml:space="preserve"> Children (2021)</w:t>
        </w:r>
      </w:hyperlink>
      <w:r w:rsidR="002D4FDD">
        <w:rPr>
          <w:rFonts w:ascii="Arial" w:hAnsi="Arial"/>
          <w:sz w:val="24"/>
          <w:bdr w:val="nil"/>
        </w:rPr>
        <w:t xml:space="preserve"> </w:t>
      </w:r>
    </w:p>
    <w:p w14:paraId="0626A026" w14:textId="77777777" w:rsidR="002D4FDD" w:rsidRDefault="00000000" w:rsidP="002D4FDD">
      <w:pPr>
        <w:pStyle w:val="Paragraphedeliste"/>
        <w:numPr>
          <w:ilvl w:val="0"/>
          <w:numId w:val="2"/>
        </w:numPr>
      </w:pPr>
      <w:hyperlink r:id="rId52">
        <w:r w:rsidR="002D4FDD">
          <w:rPr>
            <w:rFonts w:ascii="Arial" w:hAnsi="Arial"/>
            <w:color w:val="0000FF"/>
            <w:sz w:val="24"/>
            <w:u w:val="single"/>
            <w:bdr w:val="nil"/>
          </w:rPr>
          <w:t>Bericht über den Übergang von der Betreuung in Einrichtungen zu Nachbarschaftsdiensten in 27 EU-Mitgliedstaaten - Europäische Expertengruppe zum Übergang von der Betreuung in Einrichtungen zu Nachbarschaftsdiensten (2020).</w:t>
        </w:r>
      </w:hyperlink>
    </w:p>
    <w:p w14:paraId="12DA9205" w14:textId="77777777" w:rsidR="002D4FDD" w:rsidRDefault="002D4FDD" w:rsidP="002D4FDD">
      <w:pPr>
        <w:rPr>
          <w:rFonts w:eastAsia="Arial" w:cs="Arial"/>
          <w:sz w:val="24"/>
          <w:szCs w:val="24"/>
        </w:rPr>
      </w:pPr>
    </w:p>
    <w:p w14:paraId="662096D7" w14:textId="77777777" w:rsidR="00D71838" w:rsidRDefault="00D71838" w:rsidP="002D4FDD">
      <w:pPr>
        <w:rPr>
          <w:rFonts w:eastAsia="Arial" w:cs="Arial"/>
          <w:sz w:val="24"/>
          <w:szCs w:val="24"/>
        </w:rPr>
      </w:pPr>
    </w:p>
    <w:p w14:paraId="0B47ABD2" w14:textId="77777777" w:rsidR="00D71838" w:rsidRDefault="00D71838" w:rsidP="002D4FDD">
      <w:pPr>
        <w:rPr>
          <w:rFonts w:eastAsia="Arial" w:cs="Arial"/>
          <w:sz w:val="24"/>
          <w:szCs w:val="24"/>
        </w:rPr>
      </w:pPr>
    </w:p>
    <w:p w14:paraId="5797587A" w14:textId="77777777" w:rsidR="002D4FDD" w:rsidRDefault="00624628" w:rsidP="002D4FDD">
      <w:pPr>
        <w:pStyle w:val="Titre2"/>
        <w:rPr>
          <w:rFonts w:cs="Arial"/>
          <w:bCs w:val="0"/>
          <w:szCs w:val="28"/>
        </w:rPr>
      </w:pPr>
      <w:bookmarkStart w:id="67" w:name="_Toc161062620"/>
      <w:r>
        <w:rPr>
          <w:bdr w:val="nil"/>
        </w:rPr>
        <w:lastRenderedPageBreak/>
        <w:t>Anhang</w:t>
      </w:r>
      <w:bookmarkEnd w:id="67"/>
    </w:p>
    <w:p w14:paraId="642A1B35" w14:textId="77777777" w:rsidR="002D4FDD" w:rsidRDefault="002D4FDD" w:rsidP="002D4FDD"/>
    <w:p w14:paraId="3E62A6C2" w14:textId="77777777" w:rsidR="002D4FDD" w:rsidRPr="00FF6012" w:rsidRDefault="00624628" w:rsidP="002D4FDD">
      <w:pPr>
        <w:pStyle w:val="Titre2"/>
      </w:pPr>
      <w:bookmarkStart w:id="68" w:name="_Toc161062621"/>
      <w:r>
        <w:rPr>
          <w:bdr w:val="nil"/>
        </w:rPr>
        <w:t>Leicht lesbare Zusammenfassung</w:t>
      </w:r>
      <w:bookmarkEnd w:id="68"/>
    </w:p>
    <w:p w14:paraId="69A42688" w14:textId="77777777" w:rsidR="002D4FDD" w:rsidRPr="00442417" w:rsidRDefault="00624628" w:rsidP="002D4FDD">
      <w:pPr>
        <w:rPr>
          <w:rFonts w:cs="Arial"/>
          <w:sz w:val="24"/>
          <w:szCs w:val="24"/>
        </w:rPr>
      </w:pPr>
      <w:r>
        <w:rPr>
          <w:sz w:val="24"/>
          <w:bdr w:val="nil"/>
        </w:rPr>
        <w:t>(demnächst verfügbar)</w:t>
      </w:r>
    </w:p>
    <w:p w14:paraId="5967293D" w14:textId="77777777" w:rsidR="002D4FDD" w:rsidRPr="00442417" w:rsidRDefault="002D4FDD" w:rsidP="002D4FDD"/>
    <w:p w14:paraId="65A5F056" w14:textId="77777777" w:rsidR="002D4FDD" w:rsidRPr="005578BF" w:rsidRDefault="00624628" w:rsidP="002D4FDD">
      <w:pPr>
        <w:pStyle w:val="Titre2"/>
        <w:rPr>
          <w:rFonts w:cs="Arial"/>
          <w:b w:val="0"/>
          <w:bCs w:val="0"/>
          <w:szCs w:val="28"/>
        </w:rPr>
      </w:pPr>
      <w:bookmarkStart w:id="69" w:name="_Toc161062622"/>
      <w:r>
        <w:rPr>
          <w:bdr w:val="nil"/>
        </w:rPr>
        <w:t>Dokumentennachweis</w:t>
      </w:r>
      <w:bookmarkEnd w:id="69"/>
    </w:p>
    <w:p w14:paraId="2A01F1A7" w14:textId="77777777" w:rsidR="002D4FDD" w:rsidRPr="00B22F47" w:rsidRDefault="00624628" w:rsidP="002D4FDD">
      <w:pPr>
        <w:widowControl w:val="0"/>
        <w:spacing w:after="240"/>
        <w:rPr>
          <w:rFonts w:cs="Arial"/>
          <w:sz w:val="24"/>
          <w:szCs w:val="24"/>
        </w:rPr>
      </w:pPr>
      <w:r>
        <w:rPr>
          <w:sz w:val="24"/>
          <w:bdr w:val="nil"/>
        </w:rPr>
        <w:t xml:space="preserve">Dieses Dokument wurde erstellt von </w:t>
      </w:r>
      <w:hyperlink r:id="rId53" w:history="1">
        <w:r>
          <w:rPr>
            <w:color w:val="0000FF"/>
            <w:sz w:val="24"/>
            <w:u w:val="single"/>
            <w:bdr w:val="nil"/>
          </w:rPr>
          <w:t xml:space="preserve">Haydn </w:t>
        </w:r>
        <w:proofErr w:type="spellStart"/>
        <w:r>
          <w:rPr>
            <w:color w:val="0000FF"/>
            <w:sz w:val="24"/>
            <w:u w:val="single"/>
            <w:bdr w:val="nil"/>
          </w:rPr>
          <w:t>Hammersley</w:t>
        </w:r>
        <w:proofErr w:type="spellEnd"/>
      </w:hyperlink>
    </w:p>
    <w:p w14:paraId="27A0686A" w14:textId="3FEC3E57" w:rsidR="002D4FDD" w:rsidRPr="005578BF" w:rsidRDefault="00FF795A" w:rsidP="002D4FDD">
      <w:pPr>
        <w:widowControl w:val="0"/>
        <w:spacing w:after="240"/>
        <w:rPr>
          <w:rFonts w:cs="Arial"/>
          <w:sz w:val="24"/>
          <w:szCs w:val="24"/>
        </w:rPr>
      </w:pPr>
      <w:r w:rsidRPr="002D4FDD">
        <w:rPr>
          <w:noProof/>
          <w:sz w:val="24"/>
          <w:szCs w:val="24"/>
        </w:rPr>
        <w:drawing>
          <wp:inline distT="0" distB="0" distL="0" distR="0" wp14:anchorId="72AA2C6D" wp14:editId="5A67170D">
            <wp:extent cx="1003935" cy="1104900"/>
            <wp:effectExtent l="0" t="0" r="0" b="0"/>
            <wp:docPr id="1760600338" name="Picture 204906110" descr="Logo of the European Disability For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4906110" descr="Logo of the European Disability Forum"/>
                    <pic:cNvPicPr>
                      <a:picLocks noChangeAspect="1" noChangeArrowheads="1"/>
                    </pic:cNvPicPr>
                  </pic:nvPicPr>
                  <pic:blipFill>
                    <a:blip r:embed="rId54">
                      <a:extLst>
                        <a:ext uri="{28A0092B-C50C-407E-A947-70E740481C1C}">
                          <a14:useLocalDpi xmlns:a14="http://schemas.microsoft.com/office/drawing/2010/main" val="0"/>
                        </a:ext>
                      </a:extLst>
                    </a:blip>
                    <a:srcRect/>
                    <a:stretch>
                      <a:fillRect/>
                    </a:stretch>
                  </pic:blipFill>
                  <pic:spPr bwMode="auto">
                    <a:xfrm>
                      <a:off x="0" y="0"/>
                      <a:ext cx="1003935" cy="1104900"/>
                    </a:xfrm>
                    <a:prstGeom prst="rect">
                      <a:avLst/>
                    </a:prstGeom>
                    <a:noFill/>
                    <a:ln>
                      <a:noFill/>
                    </a:ln>
                  </pic:spPr>
                </pic:pic>
              </a:graphicData>
            </a:graphic>
          </wp:inline>
        </w:drawing>
      </w:r>
    </w:p>
    <w:p w14:paraId="4FD26EB1" w14:textId="77777777" w:rsidR="002D4FDD" w:rsidRPr="005578BF" w:rsidRDefault="00624628" w:rsidP="002D4FDD">
      <w:pPr>
        <w:widowControl w:val="0"/>
        <w:spacing w:after="240"/>
        <w:rPr>
          <w:rFonts w:cs="Arial"/>
          <w:sz w:val="24"/>
          <w:szCs w:val="24"/>
        </w:rPr>
      </w:pPr>
      <w:r>
        <w:rPr>
          <w:sz w:val="24"/>
          <w:bdr w:val="nil"/>
        </w:rPr>
        <w:t>Europäisches Behindertenforum</w:t>
      </w:r>
      <w:r>
        <w:rPr>
          <w:sz w:val="24"/>
          <w:szCs w:val="24"/>
          <w:bdr w:val="nil"/>
        </w:rPr>
        <w:br/>
      </w:r>
      <w:r>
        <w:rPr>
          <w:sz w:val="24"/>
          <w:bdr w:val="nil"/>
        </w:rPr>
        <w:t xml:space="preserve">Mundo </w:t>
      </w:r>
      <w:proofErr w:type="spellStart"/>
      <w:r>
        <w:rPr>
          <w:sz w:val="24"/>
          <w:bdr w:val="nil"/>
        </w:rPr>
        <w:t>Madou</w:t>
      </w:r>
      <w:proofErr w:type="spellEnd"/>
      <w:r>
        <w:rPr>
          <w:sz w:val="24"/>
          <w:szCs w:val="24"/>
          <w:bdr w:val="nil"/>
        </w:rPr>
        <w:br/>
      </w:r>
      <w:r>
        <w:rPr>
          <w:sz w:val="24"/>
          <w:bdr w:val="nil"/>
        </w:rPr>
        <w:t>Avenue des Arts 7-8</w:t>
      </w:r>
      <w:r>
        <w:rPr>
          <w:sz w:val="24"/>
          <w:szCs w:val="24"/>
          <w:bdr w:val="nil"/>
        </w:rPr>
        <w:br/>
      </w:r>
      <w:r>
        <w:rPr>
          <w:sz w:val="24"/>
          <w:bdr w:val="nil"/>
        </w:rPr>
        <w:t>1210 Brüssel, Belgien.</w:t>
      </w:r>
    </w:p>
    <w:p w14:paraId="56ED6161" w14:textId="77777777" w:rsidR="002D4FDD" w:rsidRPr="00983A64" w:rsidRDefault="00000000" w:rsidP="002D4FDD">
      <w:pPr>
        <w:widowControl w:val="0"/>
        <w:spacing w:after="240" w:line="240" w:lineRule="auto"/>
        <w:rPr>
          <w:rFonts w:cs="Arial"/>
          <w:sz w:val="24"/>
          <w:szCs w:val="24"/>
        </w:rPr>
      </w:pPr>
      <w:hyperlink r:id="rId55" w:history="1">
        <w:r w:rsidR="002D4FDD">
          <w:rPr>
            <w:color w:val="0000FF"/>
            <w:sz w:val="24"/>
            <w:u w:val="single"/>
            <w:bdr w:val="nil"/>
          </w:rPr>
          <w:t>www.edf-feph.org</w:t>
        </w:r>
      </w:hyperlink>
    </w:p>
    <w:p w14:paraId="6BBDA159" w14:textId="77777777" w:rsidR="002D4FDD" w:rsidRPr="00771E65" w:rsidRDefault="00000000" w:rsidP="002D4FDD">
      <w:pPr>
        <w:widowControl w:val="0"/>
        <w:spacing w:after="240" w:line="240" w:lineRule="auto"/>
        <w:rPr>
          <w:rFonts w:cs="Arial"/>
          <w:sz w:val="24"/>
          <w:szCs w:val="24"/>
        </w:rPr>
      </w:pPr>
      <w:hyperlink r:id="rId56" w:history="1">
        <w:r w:rsidR="002D4FDD">
          <w:rPr>
            <w:color w:val="0000FF"/>
            <w:sz w:val="24"/>
            <w:u w:val="single"/>
            <w:bdr w:val="nil"/>
          </w:rPr>
          <w:t>info@edf-feph.org</w:t>
        </w:r>
      </w:hyperlink>
      <w:bookmarkEnd w:id="5"/>
    </w:p>
    <w:p w14:paraId="64E3CEBD" w14:textId="77777777" w:rsidR="00913671" w:rsidRDefault="00913671" w:rsidP="00D90CB9">
      <w:pPr>
        <w:pStyle w:val="Paragraphedeliste"/>
        <w:spacing w:line="256" w:lineRule="auto"/>
        <w:ind w:left="0"/>
      </w:pPr>
      <w:r>
        <w:t xml:space="preserve"> </w:t>
      </w:r>
    </w:p>
    <w:sectPr w:rsidR="00913671" w:rsidSect="008B6A93">
      <w:headerReference w:type="even" r:id="rId57"/>
      <w:headerReference w:type="default" r:id="rId58"/>
      <w:footerReference w:type="even" r:id="rId59"/>
      <w:footerReference w:type="default" r:id="rId60"/>
      <w:headerReference w:type="first" r:id="rId61"/>
      <w:footerReference w:type="first" r:id="rId62"/>
      <w:pgSz w:w="11906" w:h="16838"/>
      <w:pgMar w:top="2041" w:right="836" w:bottom="1440" w:left="1080" w:header="709" w:footer="113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1D57DBB" w14:textId="77777777" w:rsidR="008B6A93" w:rsidRDefault="008B6A93" w:rsidP="00F86167">
      <w:pPr>
        <w:spacing w:after="0" w:line="240" w:lineRule="auto"/>
      </w:pPr>
      <w:r>
        <w:separator/>
      </w:r>
    </w:p>
  </w:endnote>
  <w:endnote w:type="continuationSeparator" w:id="0">
    <w:p w14:paraId="507D86C5" w14:textId="77777777" w:rsidR="008B6A93" w:rsidRDefault="008B6A93" w:rsidP="00F8616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2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2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Open Sans">
    <w:panose1 w:val="020B0806030504020204"/>
    <w:charset w:val="00"/>
    <w:family w:val="swiss"/>
    <w:pitch w:val="variable"/>
    <w:sig w:usb0="E00002EF" w:usb1="4000205B" w:usb2="00000028"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44CFC0C" w14:textId="77777777" w:rsidR="00CF01C5" w:rsidRDefault="00CF01C5">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5AB4A29" w14:textId="0EFCCA99" w:rsidR="007D4987" w:rsidRDefault="00FF795A" w:rsidP="00CD5671">
    <w:pPr>
      <w:pStyle w:val="Pieddepage"/>
      <w:jc w:val="center"/>
    </w:pPr>
    <w:r>
      <w:rPr>
        <w:noProof/>
      </w:rPr>
      <w:drawing>
        <wp:anchor distT="0" distB="0" distL="114300" distR="114300" simplePos="0" relativeHeight="251655680" behindDoc="1" locked="0" layoutInCell="1" allowOverlap="1" wp14:anchorId="0A76C6C0" wp14:editId="5FD87B3D">
          <wp:simplePos x="0" y="0"/>
          <wp:positionH relativeFrom="column">
            <wp:posOffset>962660</wp:posOffset>
          </wp:positionH>
          <wp:positionV relativeFrom="paragraph">
            <wp:posOffset>244475</wp:posOffset>
          </wp:positionV>
          <wp:extent cx="4406900" cy="476250"/>
          <wp:effectExtent l="0" t="0" r="0" b="0"/>
          <wp:wrapSquare wrapText="bothSides"/>
          <wp:docPr id="5"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406900" cy="476250"/>
                  </a:xfrm>
                  <a:prstGeom prst="rect">
                    <a:avLst/>
                  </a:prstGeom>
                  <a:noFill/>
                  <a:ln>
                    <a:noFill/>
                  </a:ln>
                </pic:spPr>
              </pic:pic>
            </a:graphicData>
          </a:graphic>
          <wp14:sizeRelH relativeFrom="page">
            <wp14:pctWidth>0</wp14:pctWidth>
          </wp14:sizeRelH>
          <wp14:sizeRelV relativeFrom="page">
            <wp14:pctHeight>0</wp14:pctHeight>
          </wp14:sizeRelV>
        </wp:anchor>
      </w:drawing>
    </w:r>
    <w:r w:rsidR="007D4987">
      <w:fldChar w:fldCharType="begin"/>
    </w:r>
    <w:r w:rsidR="007D4987">
      <w:instrText xml:space="preserve"> PAGE   \* MERGEFORMAT </w:instrText>
    </w:r>
    <w:r w:rsidR="007D4987">
      <w:fldChar w:fldCharType="separate"/>
    </w:r>
    <w:r>
      <w:t>1</w:t>
    </w:r>
    <w:r w:rsidR="007D4987">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325C294" w14:textId="77777777" w:rsidR="00CF01C5" w:rsidRDefault="00CF01C5">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007E318" w14:textId="77777777" w:rsidR="008B6A93" w:rsidRDefault="008B6A93" w:rsidP="00F86167">
      <w:pPr>
        <w:spacing w:after="0" w:line="240" w:lineRule="auto"/>
      </w:pPr>
      <w:r>
        <w:separator/>
      </w:r>
    </w:p>
  </w:footnote>
  <w:footnote w:type="continuationSeparator" w:id="0">
    <w:p w14:paraId="77627E06" w14:textId="77777777" w:rsidR="008B6A93" w:rsidRDefault="008B6A93" w:rsidP="00F86167">
      <w:pPr>
        <w:spacing w:after="0" w:line="240" w:lineRule="auto"/>
      </w:pPr>
      <w:r>
        <w:continuationSeparator/>
      </w:r>
    </w:p>
  </w:footnote>
  <w:footnote w:id="1">
    <w:p w14:paraId="09B36728" w14:textId="77777777" w:rsidR="002D4FDD" w:rsidRDefault="002D4FDD" w:rsidP="002D4FDD">
      <w:pPr>
        <w:pStyle w:val="Notedebasdepage"/>
      </w:pPr>
      <w:r>
        <w:rPr>
          <w:rStyle w:val="Appelnotedebasdep"/>
        </w:rPr>
        <w:footnoteRef/>
      </w:r>
      <w:r>
        <w:rPr>
          <w:bdr w:val="nil"/>
        </w:rPr>
        <w:t xml:space="preserve"> Siehe Verordnung mit gemeinsamen Bestimmungen (EU) 2021/1060, Erwägungsgrund 6, Thematische Ermächtigungsbedingung 4.4 und 4.6. </w:t>
      </w:r>
    </w:p>
  </w:footnote>
  <w:footnote w:id="2">
    <w:p w14:paraId="42890DDF" w14:textId="77777777" w:rsidR="002D4FDD" w:rsidRPr="00F64687" w:rsidRDefault="002D4FDD" w:rsidP="002D4FDD">
      <w:pPr>
        <w:pStyle w:val="Notedebasdepage"/>
      </w:pPr>
      <w:r>
        <w:rPr>
          <w:rStyle w:val="Appelnotedebasdep"/>
        </w:rPr>
        <w:footnoteRef/>
      </w:r>
      <w:r>
        <w:rPr>
          <w:bdr w:val="nil"/>
        </w:rPr>
        <w:t xml:space="preserve"> </w:t>
      </w:r>
      <w:hyperlink r:id="rId1" w:history="1">
        <w:r>
          <w:rPr>
            <w:rFonts w:ascii="Segoe UI" w:hAnsi="Segoe UI"/>
            <w:color w:val="0000FF"/>
            <w:sz w:val="18"/>
            <w:u w:val="single"/>
            <w:bdr w:val="nil"/>
          </w:rPr>
          <w:t>www.inclusion.eu/indicators</w:t>
        </w:r>
      </w:hyperlink>
      <w:r w:rsidR="00624628">
        <w:rPr>
          <w:rFonts w:ascii="Segoe UI" w:hAnsi="Segoe UI"/>
          <w:sz w:val="18"/>
          <w:szCs w:val="18"/>
          <w:bdr w:val="nil"/>
        </w:rPr>
        <w:t xml:space="preserve"> </w:t>
      </w:r>
    </w:p>
  </w:footnote>
  <w:footnote w:id="3">
    <w:p w14:paraId="1EE60186" w14:textId="77777777" w:rsidR="002D4FDD" w:rsidRDefault="002D4FDD" w:rsidP="002D4FDD">
      <w:pPr>
        <w:pStyle w:val="Notedebasdepage"/>
      </w:pPr>
      <w:r>
        <w:rPr>
          <w:rStyle w:val="Appelnotedebasdep"/>
        </w:rPr>
        <w:footnoteRef/>
      </w:r>
      <w:r>
        <w:rPr>
          <w:rFonts w:ascii="Arial" w:hAnsi="Arial"/>
          <w:bdr w:val="nil"/>
        </w:rPr>
        <w:t xml:space="preserve">Inspiriert durch die vom nordirischen Ministerium für Gesundheit und Soziales 2015 erstellten Leitlinien, die eine Definition von „Zuhause“ enthalten </w:t>
      </w:r>
      <w:hyperlink r:id="rId2" w:history="1">
        <w:r>
          <w:rPr>
            <w:color w:val="0000FF"/>
            <w:u w:val="single"/>
            <w:bdr w:val="nil"/>
          </w:rPr>
          <w:t xml:space="preserve">HSC Service Users in </w:t>
        </w:r>
        <w:proofErr w:type="spellStart"/>
        <w:r>
          <w:rPr>
            <w:color w:val="0000FF"/>
            <w:u w:val="single"/>
            <w:bdr w:val="nil"/>
          </w:rPr>
          <w:t>supported</w:t>
        </w:r>
        <w:proofErr w:type="spellEnd"/>
        <w:r>
          <w:rPr>
            <w:color w:val="0000FF"/>
            <w:u w:val="single"/>
            <w:bdr w:val="nil"/>
          </w:rPr>
          <w:t xml:space="preserve"> </w:t>
        </w:r>
        <w:proofErr w:type="spellStart"/>
        <w:r>
          <w:rPr>
            <w:color w:val="0000FF"/>
            <w:u w:val="single"/>
            <w:bdr w:val="nil"/>
          </w:rPr>
          <w:t>housing</w:t>
        </w:r>
        <w:proofErr w:type="spellEnd"/>
        <w:r>
          <w:rPr>
            <w:color w:val="0000FF"/>
            <w:u w:val="single"/>
            <w:bdr w:val="nil"/>
          </w:rPr>
          <w:t xml:space="preserve"> | Department </w:t>
        </w:r>
        <w:proofErr w:type="spellStart"/>
        <w:r>
          <w:rPr>
            <w:color w:val="0000FF"/>
            <w:u w:val="single"/>
            <w:bdr w:val="nil"/>
          </w:rPr>
          <w:t>of</w:t>
        </w:r>
        <w:proofErr w:type="spellEnd"/>
        <w:r>
          <w:rPr>
            <w:color w:val="0000FF"/>
            <w:u w:val="single"/>
            <w:bdr w:val="nil"/>
          </w:rPr>
          <w:t xml:space="preserve"> Health (health-ni.gov.uk)</w:t>
        </w:r>
      </w:hyperlink>
    </w:p>
  </w:footnote>
  <w:footnote w:id="4">
    <w:p w14:paraId="78D53F87" w14:textId="77777777" w:rsidR="002D4FDD" w:rsidRPr="00F05890" w:rsidRDefault="002D4FDD" w:rsidP="002D4FDD">
      <w:pPr>
        <w:pStyle w:val="Notedebasdepage"/>
      </w:pPr>
      <w:r>
        <w:rPr>
          <w:rStyle w:val="Appelnotedebasdep"/>
        </w:rPr>
        <w:footnoteRef/>
      </w:r>
      <w:r>
        <w:rPr>
          <w:bdr w:val="nil"/>
        </w:rPr>
        <w:t xml:space="preserve"> </w:t>
      </w:r>
      <w:hyperlink r:id="rId3" w:history="1">
        <w:r>
          <w:rPr>
            <w:color w:val="0000FF"/>
            <w:u w:val="single"/>
            <w:bdr w:val="nil"/>
          </w:rPr>
          <w:t>https://www.ohchr.org/en/documents/general-comments-and-recommendations/general-comment-no5-article-19-right-live</w:t>
        </w:r>
      </w:hyperlink>
      <w:r>
        <w:rPr>
          <w:bdr w:val="nil"/>
        </w:rPr>
        <w:t xml:space="preserve"> </w:t>
      </w:r>
    </w:p>
  </w:footnote>
  <w:footnote w:id="5">
    <w:p w14:paraId="27F313AF" w14:textId="77777777" w:rsidR="002D4FDD" w:rsidRPr="00E50CEE" w:rsidRDefault="002D4FDD" w:rsidP="002D4FDD">
      <w:pPr>
        <w:pStyle w:val="Notedebasdepage"/>
        <w:rPr>
          <w:lang w:val="en-GB"/>
        </w:rPr>
      </w:pPr>
      <w:r>
        <w:rPr>
          <w:rStyle w:val="Appelnotedebasdep"/>
        </w:rPr>
        <w:footnoteRef/>
      </w:r>
      <w:r w:rsidRPr="00E50CEE">
        <w:rPr>
          <w:bdr w:val="nil"/>
          <w:lang w:val="en-GB"/>
        </w:rPr>
        <w:t xml:space="preserve"> </w:t>
      </w:r>
      <w:hyperlink r:id="rId4" w:anchor=":~:text=Common%20issues%20for%20children%20in,isolated%20from%20their%20traditional%20communities." w:history="1">
        <w:r w:rsidRPr="00E50CEE">
          <w:rPr>
            <w:color w:val="0000FF"/>
            <w:u w:val="single"/>
            <w:bdr w:val="nil"/>
            <w:lang w:val="en-GB"/>
          </w:rPr>
          <w:t>Effects of Institutional Care | Better Care Network</w:t>
        </w:r>
      </w:hyperlink>
    </w:p>
  </w:footnote>
  <w:footnote w:id="6">
    <w:p w14:paraId="3346DAF2" w14:textId="77777777" w:rsidR="002D4FDD" w:rsidRDefault="002D4FDD" w:rsidP="002D4FDD">
      <w:pPr>
        <w:pStyle w:val="Notedebasdepage"/>
      </w:pPr>
      <w:r>
        <w:rPr>
          <w:rStyle w:val="Appelnotedebasdep"/>
        </w:rPr>
        <w:footnoteRef/>
      </w:r>
      <w:r>
        <w:rPr>
          <w:bdr w:val="nil"/>
        </w:rPr>
        <w:t xml:space="preserve"> </w:t>
      </w:r>
      <w:hyperlink r:id="rId5" w:history="1">
        <w:r>
          <w:rPr>
            <w:color w:val="0000FF"/>
            <w:u w:val="single"/>
            <w:bdr w:val="nil"/>
          </w:rPr>
          <w:t>Factsheet_Lumos_Risks.pdf (contentfiles.net)</w:t>
        </w:r>
      </w:hyperlink>
    </w:p>
  </w:footnote>
  <w:footnote w:id="7">
    <w:p w14:paraId="404A3C7F" w14:textId="77777777" w:rsidR="002D4FDD" w:rsidRDefault="002D4FDD" w:rsidP="002D4FDD">
      <w:pPr>
        <w:pStyle w:val="Notedebasdepage"/>
      </w:pPr>
      <w:r>
        <w:rPr>
          <w:rStyle w:val="Appelnotedebasdep"/>
        </w:rPr>
        <w:footnoteRef/>
      </w:r>
      <w:r>
        <w:rPr>
          <w:bdr w:val="nil"/>
        </w:rPr>
        <w:t xml:space="preserve"> </w:t>
      </w:r>
      <w:hyperlink r:id="rId6" w:history="1">
        <w:r>
          <w:rPr>
            <w:color w:val="0000FF"/>
            <w:u w:val="single"/>
            <w:bdr w:val="nil"/>
          </w:rPr>
          <w:t>Zwangssterilisation von Menschen mit Behinderungen in der EU (edf-feph.org)</w:t>
        </w:r>
      </w:hyperlink>
    </w:p>
  </w:footnote>
  <w:footnote w:id="8">
    <w:p w14:paraId="7AFFB205" w14:textId="77777777" w:rsidR="002D4FDD" w:rsidRPr="00A97642" w:rsidRDefault="002D4FDD" w:rsidP="002D4FDD">
      <w:pPr>
        <w:rPr>
          <w:rFonts w:cs="Arial"/>
          <w:sz w:val="24"/>
          <w:szCs w:val="24"/>
        </w:rPr>
      </w:pPr>
      <w:r>
        <w:rPr>
          <w:rStyle w:val="Appelnotedebasdep"/>
        </w:rPr>
        <w:footnoteRef/>
      </w:r>
      <w:r>
        <w:rPr>
          <w:bdr w:val="nil"/>
        </w:rPr>
        <w:t xml:space="preserve"> </w:t>
      </w:r>
      <w:hyperlink r:id="rId7" w:history="1">
        <w:r>
          <w:rPr>
            <w:color w:val="0000FF"/>
            <w:sz w:val="20"/>
            <w:u w:val="single"/>
            <w:bdr w:val="nil"/>
          </w:rPr>
          <w:t>https://www.inclusion-europe.eu/violence-against-women-with-intellectual-disabilities/</w:t>
        </w:r>
      </w:hyperlink>
      <w:r w:rsidR="00624628">
        <w:rPr>
          <w:sz w:val="24"/>
          <w:szCs w:val="24"/>
          <w:bdr w:val="nil"/>
        </w:rPr>
        <w:t xml:space="preserve"> </w:t>
      </w:r>
    </w:p>
  </w:footnote>
  <w:footnote w:id="9">
    <w:p w14:paraId="3E5D5A82" w14:textId="77777777" w:rsidR="002D4FDD" w:rsidRPr="00E50CEE" w:rsidRDefault="002D4FDD" w:rsidP="002D4FDD">
      <w:pPr>
        <w:pStyle w:val="Notedebasdepage"/>
        <w:rPr>
          <w:lang w:val="en-GB"/>
        </w:rPr>
      </w:pPr>
      <w:r>
        <w:rPr>
          <w:rStyle w:val="Appelnotedebasdep"/>
        </w:rPr>
        <w:footnoteRef/>
      </w:r>
      <w:r w:rsidRPr="00E50CEE">
        <w:rPr>
          <w:bdr w:val="nil"/>
          <w:lang w:val="en-GB"/>
        </w:rPr>
        <w:t xml:space="preserve"> </w:t>
      </w:r>
      <w:hyperlink r:id="rId8" w:anchor=":~:text=Common%20issues%20for%20children%20in,isolated%20from%20their%20traditional%20communities." w:history="1">
        <w:r w:rsidRPr="00E50CEE">
          <w:rPr>
            <w:color w:val="0000FF"/>
            <w:u w:val="single"/>
            <w:bdr w:val="nil"/>
            <w:lang w:val="en-GB"/>
          </w:rPr>
          <w:t>Effects of Institutional Care | Better Care Network</w:t>
        </w:r>
      </w:hyperlink>
    </w:p>
  </w:footnote>
  <w:footnote w:id="10">
    <w:p w14:paraId="1E660E43" w14:textId="77777777" w:rsidR="002D4FDD" w:rsidRPr="00E50CEE" w:rsidRDefault="002D4FDD" w:rsidP="002D4FDD">
      <w:pPr>
        <w:pStyle w:val="Notedebasdepage"/>
        <w:rPr>
          <w:lang w:val="en-GB"/>
        </w:rPr>
      </w:pPr>
      <w:r>
        <w:rPr>
          <w:rStyle w:val="Appelnotedebasdep"/>
        </w:rPr>
        <w:footnoteRef/>
      </w:r>
      <w:r w:rsidRPr="00E50CEE">
        <w:rPr>
          <w:bdr w:val="nil"/>
          <w:lang w:val="en-GB"/>
        </w:rPr>
        <w:t xml:space="preserve"> </w:t>
      </w:r>
      <w:hyperlink r:id="rId9" w:anchor=":~:text=Browne%27s%20findings%20showed%20that%20institutions,cognitive%20performance%20and%20language%20deficits." w:history="1">
        <w:r w:rsidRPr="00E50CEE">
          <w:rPr>
            <w:color w:val="0000FF"/>
            <w:u w:val="single"/>
            <w:bdr w:val="nil"/>
            <w:lang w:val="en-GB"/>
          </w:rPr>
          <w:t>The Effects of Institutionalization and Living Outside of Family Care on Children's Early Development - Reaching and Investing in Children at the Margins - NCBI Bookshelf (nih.gov)</w:t>
        </w:r>
      </w:hyperlink>
    </w:p>
  </w:footnote>
  <w:footnote w:id="11">
    <w:p w14:paraId="4C3DDC6F" w14:textId="77777777" w:rsidR="002D4FDD" w:rsidRPr="00E50CEE" w:rsidRDefault="002D4FDD" w:rsidP="002D4FDD">
      <w:pPr>
        <w:pStyle w:val="Notedebasdepage"/>
        <w:rPr>
          <w:lang w:val="en-GB"/>
        </w:rPr>
      </w:pPr>
      <w:r>
        <w:rPr>
          <w:rStyle w:val="Appelnotedebasdep"/>
        </w:rPr>
        <w:footnoteRef/>
      </w:r>
      <w:r w:rsidRPr="00E50CEE">
        <w:rPr>
          <w:bdr w:val="nil"/>
          <w:lang w:val="en-GB"/>
        </w:rPr>
        <w:t xml:space="preserve"> </w:t>
      </w:r>
      <w:hyperlink r:id="rId10" w:history="1">
        <w:r w:rsidRPr="00E50CEE">
          <w:rPr>
            <w:color w:val="0000FF"/>
            <w:u w:val="single"/>
            <w:bdr w:val="nil"/>
            <w:lang w:val="en-GB"/>
          </w:rPr>
          <w:t>Factsheet_Lumos_Risks.pdf (contentfiles.net)</w:t>
        </w:r>
      </w:hyperlink>
      <w:r w:rsidRPr="00E50CEE">
        <w:rPr>
          <w:bdr w:val="nil"/>
          <w:lang w:val="en-GB"/>
        </w:rPr>
        <w:t xml:space="preserve"> </w:t>
      </w:r>
    </w:p>
  </w:footnote>
  <w:footnote w:id="12">
    <w:p w14:paraId="7C3E5BB9" w14:textId="77777777" w:rsidR="002D4FDD" w:rsidRPr="00E50CEE" w:rsidRDefault="002D4FDD" w:rsidP="002D4FDD">
      <w:pPr>
        <w:pStyle w:val="Notedebasdepage"/>
        <w:rPr>
          <w:lang w:val="en-GB"/>
        </w:rPr>
      </w:pPr>
      <w:r>
        <w:rPr>
          <w:rStyle w:val="Appelnotedebasdep"/>
        </w:rPr>
        <w:footnoteRef/>
      </w:r>
      <w:r w:rsidRPr="00E50CEE">
        <w:rPr>
          <w:bdr w:val="nil"/>
          <w:lang w:val="en-GB"/>
        </w:rPr>
        <w:t xml:space="preserve"> </w:t>
      </w:r>
      <w:hyperlink r:id="rId11" w:anchor=":~:text=Common%20issues%20for%20children%20in,isolated%20from%20their%20traditional%20communities." w:history="1">
        <w:r w:rsidRPr="00E50CEE">
          <w:rPr>
            <w:color w:val="0000FF"/>
            <w:u w:val="single"/>
            <w:bdr w:val="nil"/>
            <w:lang w:val="en-GB"/>
          </w:rPr>
          <w:t>Effects of Institutional Care | Better Care Network</w:t>
        </w:r>
      </w:hyperlink>
    </w:p>
  </w:footnote>
  <w:footnote w:id="13">
    <w:p w14:paraId="7F51BA65" w14:textId="77777777" w:rsidR="002D4FDD" w:rsidRPr="00793A8B" w:rsidRDefault="002D4FDD" w:rsidP="002D4FDD">
      <w:pPr>
        <w:pStyle w:val="Notedebasdepage"/>
      </w:pPr>
      <w:r>
        <w:rPr>
          <w:rStyle w:val="Appelnotedebasdep"/>
        </w:rPr>
        <w:footnoteRef/>
      </w:r>
      <w:r>
        <w:rPr>
          <w:bdr w:val="nil"/>
        </w:rPr>
        <w:t xml:space="preserve"> OECD-Bericht 2021t: </w:t>
      </w:r>
      <w:hyperlink r:id="rId12" w:history="1">
        <w:r>
          <w:rPr>
            <w:color w:val="0000FF"/>
            <w:u w:val="single"/>
            <w:bdr w:val="nil"/>
          </w:rPr>
          <w:t>https://www.oecd.org/publications/a-crisis-on-the-horizon-306e6993-en.htm</w:t>
        </w:r>
      </w:hyperlink>
      <w:r>
        <w:rPr>
          <w:bdr w:val="nil"/>
        </w:rPr>
        <w:t xml:space="preserve"> </w:t>
      </w:r>
    </w:p>
  </w:footnote>
  <w:footnote w:id="14">
    <w:p w14:paraId="7D68ADFF" w14:textId="77777777" w:rsidR="002D4FDD" w:rsidRPr="00F66D4F" w:rsidRDefault="002D4FDD" w:rsidP="002D4FDD">
      <w:pPr>
        <w:pStyle w:val="Notedebasdepage"/>
      </w:pPr>
      <w:r>
        <w:rPr>
          <w:rStyle w:val="Appelnotedebasdep"/>
        </w:rPr>
        <w:footnoteRef/>
      </w:r>
      <w:r>
        <w:rPr>
          <w:bdr w:val="nil"/>
        </w:rPr>
        <w:t xml:space="preserve"> </w:t>
      </w:r>
      <w:hyperlink r:id="rId13" w:history="1">
        <w:r>
          <w:rPr>
            <w:rFonts w:ascii="Segoe UI" w:hAnsi="Segoe UI"/>
            <w:color w:val="0000FF"/>
            <w:sz w:val="18"/>
            <w:u w:val="single"/>
            <w:bdr w:val="nil"/>
          </w:rPr>
          <w:t>www.inclusion-europe.eu/empowerment-of-people-with-complex-support-needs-report/</w:t>
        </w:r>
      </w:hyperlink>
      <w:r w:rsidR="00624628">
        <w:rPr>
          <w:rFonts w:ascii="Segoe UI" w:hAnsi="Segoe UI"/>
          <w:sz w:val="18"/>
          <w:szCs w:val="18"/>
          <w:bdr w:val="nil"/>
        </w:rPr>
        <w:t xml:space="preserve"> </w:t>
      </w:r>
    </w:p>
  </w:footnote>
  <w:footnote w:id="15">
    <w:p w14:paraId="33E812D6" w14:textId="77777777" w:rsidR="002D4FDD" w:rsidRDefault="002D4FDD" w:rsidP="002D4FDD">
      <w:pPr>
        <w:pStyle w:val="Notedebasdepage"/>
      </w:pPr>
      <w:r>
        <w:rPr>
          <w:rStyle w:val="Appelnotedebasdep"/>
        </w:rPr>
        <w:footnoteRef/>
      </w:r>
      <w:r>
        <w:rPr>
          <w:bdr w:val="nil"/>
        </w:rPr>
        <w:t xml:space="preserve"> </w:t>
      </w:r>
      <w:hyperlink r:id="rId14" w:anchor=":~:text=People%20with%20disabilities%20have%20been,with%20no%20disability%20(6%25)" w:history="1">
        <w:r>
          <w:rPr>
            <w:color w:val="0000FF"/>
            <w:u w:val="single"/>
            <w:bdr w:val="nil"/>
          </w:rPr>
          <w:t>https://www.campaigntoendloneliness.org/disability-and-loneliness/#:~:text=People%20with%20disabilities%20have%20been,with%20no%20disability%20(6%25)</w:t>
        </w:r>
      </w:hyperlink>
      <w:r>
        <w:rPr>
          <w:bdr w:val="nil"/>
        </w:rPr>
        <w:t xml:space="preserve">. </w:t>
      </w:r>
    </w:p>
  </w:footnote>
  <w:footnote w:id="16">
    <w:p w14:paraId="692777AD" w14:textId="77777777" w:rsidR="002D4FDD" w:rsidRDefault="002D4FDD" w:rsidP="002D4FDD">
      <w:pPr>
        <w:pStyle w:val="Notedebasdepage"/>
      </w:pPr>
      <w:r>
        <w:rPr>
          <w:rStyle w:val="Appelnotedebasdep"/>
        </w:rPr>
        <w:footnoteRef/>
      </w:r>
      <w:r>
        <w:rPr>
          <w:bdr w:val="nil"/>
        </w:rPr>
        <w:t xml:space="preserve"> </w:t>
      </w:r>
      <w:hyperlink r:id="rId15" w:anchor=":~:text=People%20with%20disabilities%20have%20been,with%20no%20disability%20(6%25)" w:history="1">
        <w:r>
          <w:rPr>
            <w:color w:val="0000FF"/>
            <w:u w:val="single"/>
            <w:bdr w:val="nil"/>
          </w:rPr>
          <w:t>https://www.campaigntoendloneliness.org/disability-and-loneliness/#:~:text=People%20with%20disabilities%20have%20been,with%20no%20disability%20(6%25)</w:t>
        </w:r>
      </w:hyperlink>
      <w:r>
        <w:rPr>
          <w:bdr w:val="nil"/>
        </w:rPr>
        <w:t xml:space="preserve">. </w:t>
      </w:r>
    </w:p>
  </w:footnote>
  <w:footnote w:id="17">
    <w:p w14:paraId="2A27232E" w14:textId="77777777" w:rsidR="002D4FDD" w:rsidRPr="00A66967" w:rsidRDefault="002D4FDD" w:rsidP="002D4FDD">
      <w:pPr>
        <w:pStyle w:val="Notedebasdepage"/>
      </w:pPr>
      <w:r>
        <w:rPr>
          <w:rStyle w:val="Appelnotedebasdep"/>
        </w:rPr>
        <w:footnoteRef/>
      </w:r>
      <w:r>
        <w:rPr>
          <w:bdr w:val="nil"/>
        </w:rPr>
        <w:t xml:space="preserve"> </w:t>
      </w:r>
      <w:hyperlink r:id="rId16" w:anchor=":~:text=The%202021%20Long-term%20care%20report%2C%20jointly%20prepared%20by,care%20provision%20and%20key%20challenges%20across%20the%20EU" w:history="1">
        <w:r>
          <w:rPr>
            <w:color w:val="0000FF"/>
            <w:u w:val="single"/>
            <w:bdr w:val="nil"/>
          </w:rPr>
          <w:t>https://ec.europa.eu/social/BlobServlet?docId=24081&amp;langId=en#:~:text=The%202021%20Long-term%20care%20report%2C%20jointly%20prepared%20by,care%20provision%20and%20key%20challenges%20across%20the%20EU</w:t>
        </w:r>
      </w:hyperlink>
      <w:r>
        <w:rPr>
          <w:bdr w:val="nil"/>
        </w:rP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F3DA52F" w14:textId="77777777" w:rsidR="00CF01C5" w:rsidRDefault="00CF01C5">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CD7C864" w14:textId="73D80BAD" w:rsidR="007D4987" w:rsidRPr="00B10A93" w:rsidRDefault="00FF795A" w:rsidP="00702749">
    <w:pPr>
      <w:tabs>
        <w:tab w:val="center" w:pos="4320"/>
        <w:tab w:val="right" w:pos="8640"/>
      </w:tabs>
      <w:spacing w:after="0" w:line="240" w:lineRule="auto"/>
      <w:ind w:right="902"/>
      <w:rPr>
        <w:rFonts w:ascii="Open Sans" w:hAnsi="Open Sans"/>
        <w:b/>
        <w:bCs/>
        <w:color w:val="003480"/>
        <w:sz w:val="12"/>
        <w:szCs w:val="12"/>
      </w:rPr>
    </w:pPr>
    <w:r>
      <w:rPr>
        <w:noProof/>
      </w:rPr>
      <w:drawing>
        <wp:anchor distT="0" distB="0" distL="114300" distR="114300" simplePos="0" relativeHeight="251656704" behindDoc="0" locked="0" layoutInCell="1" allowOverlap="1" wp14:anchorId="2915F77A" wp14:editId="095A9A24">
          <wp:simplePos x="0" y="0"/>
          <wp:positionH relativeFrom="column">
            <wp:posOffset>0</wp:posOffset>
          </wp:positionH>
          <wp:positionV relativeFrom="paragraph">
            <wp:posOffset>62230</wp:posOffset>
          </wp:positionV>
          <wp:extent cx="865505" cy="959485"/>
          <wp:effectExtent l="0" t="0" r="0" b="0"/>
          <wp:wrapNone/>
          <wp:docPr id="1" name="Picture 1" descr="logo ed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 edf"/>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65505" cy="95948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57728" behindDoc="0" locked="0" layoutInCell="1" allowOverlap="1" wp14:anchorId="4AC3C602" wp14:editId="447099C6">
          <wp:simplePos x="0" y="0"/>
          <wp:positionH relativeFrom="column">
            <wp:posOffset>5408295</wp:posOffset>
          </wp:positionH>
          <wp:positionV relativeFrom="paragraph">
            <wp:posOffset>35560</wp:posOffset>
          </wp:positionV>
          <wp:extent cx="1088390" cy="958850"/>
          <wp:effectExtent l="0" t="0" r="0" b="0"/>
          <wp:wrapNone/>
          <wp:docPr id="2" name="Picture 2" descr="logo funded by the european un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ogo funded by the european union"/>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088390" cy="95885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58752" behindDoc="0" locked="0" layoutInCell="1" allowOverlap="1" wp14:anchorId="53900787" wp14:editId="095B4D77">
          <wp:simplePos x="0" y="0"/>
          <wp:positionH relativeFrom="column">
            <wp:posOffset>3765550</wp:posOffset>
          </wp:positionH>
          <wp:positionV relativeFrom="paragraph">
            <wp:posOffset>0</wp:posOffset>
          </wp:positionV>
          <wp:extent cx="673100" cy="1023620"/>
          <wp:effectExtent l="0" t="0" r="0" b="0"/>
          <wp:wrapNone/>
          <wp:docPr id="3" name="Picture 1" descr="A yellow and blue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 yellow and blue text&#10;&#10;Description automatically generated"/>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673100" cy="102362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59776" behindDoc="0" locked="0" layoutInCell="1" allowOverlap="1" wp14:anchorId="577DA6D9" wp14:editId="6064DA73">
          <wp:simplePos x="0" y="0"/>
          <wp:positionH relativeFrom="column">
            <wp:posOffset>1336675</wp:posOffset>
          </wp:positionH>
          <wp:positionV relativeFrom="paragraph">
            <wp:posOffset>109220</wp:posOffset>
          </wp:positionV>
          <wp:extent cx="1756410" cy="808990"/>
          <wp:effectExtent l="0" t="0" r="0" b="0"/>
          <wp:wrapNone/>
          <wp:docPr id="4" name="Picture 2" descr="A logo with red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 logo with red text&#10;&#10;Description automatically generated"/>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1756410" cy="80899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0D2F8A89" w14:textId="77777777" w:rsidR="007D4987" w:rsidRDefault="007D4987" w:rsidP="00702749">
    <w:pPr>
      <w:pStyle w:val="En-tte"/>
    </w:pPr>
  </w:p>
  <w:p w14:paraId="73E253F4" w14:textId="77777777" w:rsidR="007D4987" w:rsidRDefault="007D4987"/>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DA0EEFB" w14:textId="77777777" w:rsidR="00CF01C5" w:rsidRDefault="00CF01C5">
    <w:pPr>
      <w:pStyle w:val="En-tt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4420948"/>
    <w:multiLevelType w:val="hybridMultilevel"/>
    <w:tmpl w:val="E8E889F8"/>
    <w:lvl w:ilvl="0" w:tplc="FFFFFFFF">
      <w:start w:val="1"/>
      <w:numFmt w:val="bullet"/>
      <w:lvlText w:val=""/>
      <w:lvlJc w:val="left"/>
      <w:pPr>
        <w:ind w:left="720" w:hanging="360"/>
      </w:pPr>
      <w:rPr>
        <w:rFonts w:ascii="Symbol" w:hAnsi="Symbol" w:hint="default"/>
      </w:rPr>
    </w:lvl>
    <w:lvl w:ilvl="1" w:tplc="FFFFFFFF">
      <w:start w:val="1"/>
      <w:numFmt w:val="bullet"/>
      <w:lvlText w:val=""/>
      <w:lvlJc w:val="left"/>
      <w:pPr>
        <w:ind w:left="1440" w:hanging="360"/>
      </w:pPr>
      <w:rPr>
        <w:rFonts w:ascii="Symbol" w:hAnsi="Symbol"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 w15:restartNumberingAfterBreak="0">
    <w:nsid w:val="0E2915B6"/>
    <w:multiLevelType w:val="hybridMultilevel"/>
    <w:tmpl w:val="97309DE6"/>
    <w:lvl w:ilvl="0" w:tplc="FFFFFFFF">
      <w:start w:val="1"/>
      <w:numFmt w:val="bullet"/>
      <w:lvlText w:val=""/>
      <w:lvlJc w:val="left"/>
      <w:pPr>
        <w:ind w:left="720" w:hanging="360"/>
      </w:pPr>
      <w:rPr>
        <w:rFonts w:ascii="Symbol" w:hAnsi="Symbol" w:hint="default"/>
      </w:rPr>
    </w:lvl>
    <w:lvl w:ilvl="1" w:tplc="FFFFFFFF">
      <w:start w:val="1"/>
      <w:numFmt w:val="bullet"/>
      <w:lvlText w:val="o"/>
      <w:lvlJc w:val="left"/>
      <w:pPr>
        <w:ind w:left="1440" w:hanging="360"/>
      </w:pPr>
      <w:rPr>
        <w:rFonts w:ascii="Courier New" w:hAnsi="Courier New" w:hint="default"/>
      </w:rPr>
    </w:lvl>
    <w:lvl w:ilvl="2" w:tplc="FFFFFFFF">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start w:val="1"/>
      <w:numFmt w:val="bullet"/>
      <w:lvlText w:val="o"/>
      <w:lvlJc w:val="left"/>
      <w:pPr>
        <w:ind w:left="3600" w:hanging="360"/>
      </w:pPr>
      <w:rPr>
        <w:rFonts w:ascii="Courier New" w:hAnsi="Courier New" w:hint="default"/>
      </w:rPr>
    </w:lvl>
    <w:lvl w:ilvl="5" w:tplc="FFFFFFFF">
      <w:start w:val="1"/>
      <w:numFmt w:val="bullet"/>
      <w:lvlText w:val=""/>
      <w:lvlJc w:val="left"/>
      <w:pPr>
        <w:ind w:left="4320" w:hanging="360"/>
      </w:pPr>
      <w:rPr>
        <w:rFonts w:ascii="Wingdings" w:hAnsi="Wingdings" w:hint="default"/>
      </w:rPr>
    </w:lvl>
    <w:lvl w:ilvl="6" w:tplc="FFFFFFFF">
      <w:start w:val="1"/>
      <w:numFmt w:val="bullet"/>
      <w:lvlText w:val=""/>
      <w:lvlJc w:val="left"/>
      <w:pPr>
        <w:ind w:left="5040" w:hanging="360"/>
      </w:pPr>
      <w:rPr>
        <w:rFonts w:ascii="Symbol" w:hAnsi="Symbol" w:hint="default"/>
      </w:rPr>
    </w:lvl>
    <w:lvl w:ilvl="7" w:tplc="FFFFFFFF">
      <w:start w:val="1"/>
      <w:numFmt w:val="bullet"/>
      <w:lvlText w:val="o"/>
      <w:lvlJc w:val="left"/>
      <w:pPr>
        <w:ind w:left="5760" w:hanging="360"/>
      </w:pPr>
      <w:rPr>
        <w:rFonts w:ascii="Courier New" w:hAnsi="Courier New" w:hint="default"/>
      </w:rPr>
    </w:lvl>
    <w:lvl w:ilvl="8" w:tplc="FFFFFFFF">
      <w:start w:val="1"/>
      <w:numFmt w:val="bullet"/>
      <w:lvlText w:val=""/>
      <w:lvlJc w:val="left"/>
      <w:pPr>
        <w:ind w:left="6480" w:hanging="360"/>
      </w:pPr>
      <w:rPr>
        <w:rFonts w:ascii="Wingdings" w:hAnsi="Wingdings" w:hint="default"/>
      </w:rPr>
    </w:lvl>
  </w:abstractNum>
  <w:abstractNum w:abstractNumId="2" w15:restartNumberingAfterBreak="0">
    <w:nsid w:val="133F7FB3"/>
    <w:multiLevelType w:val="hybridMultilevel"/>
    <w:tmpl w:val="F4B2D7F2"/>
    <w:lvl w:ilvl="0" w:tplc="FFFFFFFF">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 w15:restartNumberingAfterBreak="0">
    <w:nsid w:val="156A2FD5"/>
    <w:multiLevelType w:val="hybridMultilevel"/>
    <w:tmpl w:val="70D2A962"/>
    <w:lvl w:ilvl="0" w:tplc="FFFFFFFF">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 w15:restartNumberingAfterBreak="0">
    <w:nsid w:val="1F9149F8"/>
    <w:multiLevelType w:val="hybridMultilevel"/>
    <w:tmpl w:val="FFFFFFFF"/>
    <w:lvl w:ilvl="0" w:tplc="FFFFFFFF">
      <w:start w:val="1"/>
      <w:numFmt w:val="decimal"/>
      <w:lvlText w:val="%1."/>
      <w:lvlJc w:val="left"/>
      <w:pPr>
        <w:ind w:left="720" w:hanging="360"/>
      </w:pPr>
    </w:lvl>
    <w:lvl w:ilvl="1" w:tplc="FFFFFFFF">
      <w:start w:val="1"/>
      <w:numFmt w:val="bullet"/>
      <w:lvlText w:val=""/>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5" w15:restartNumberingAfterBreak="0">
    <w:nsid w:val="21FD3132"/>
    <w:multiLevelType w:val="hybridMultilevel"/>
    <w:tmpl w:val="FFFFFFFF"/>
    <w:lvl w:ilvl="0" w:tplc="FFFFFFFF">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6" w15:restartNumberingAfterBreak="0">
    <w:nsid w:val="2ABF2E94"/>
    <w:multiLevelType w:val="hybridMultilevel"/>
    <w:tmpl w:val="D86097AC"/>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7" w15:restartNumberingAfterBreak="0">
    <w:nsid w:val="2CEE6949"/>
    <w:multiLevelType w:val="hybridMultilevel"/>
    <w:tmpl w:val="C55AC250"/>
    <w:lvl w:ilvl="0" w:tplc="FFFFFFFF">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8" w15:restartNumberingAfterBreak="0">
    <w:nsid w:val="304D2389"/>
    <w:multiLevelType w:val="hybridMultilevel"/>
    <w:tmpl w:val="CE3A2BCE"/>
    <w:lvl w:ilvl="0" w:tplc="FFFFFFFF">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9" w15:restartNumberingAfterBreak="0">
    <w:nsid w:val="35357512"/>
    <w:multiLevelType w:val="hybridMultilevel"/>
    <w:tmpl w:val="C24A3FF0"/>
    <w:lvl w:ilvl="0" w:tplc="FFFFFFFF">
      <w:start w:val="1"/>
      <w:numFmt w:val="bullet"/>
      <w:lvlText w:val="o"/>
      <w:lvlJc w:val="left"/>
      <w:pPr>
        <w:ind w:left="720" w:hanging="360"/>
      </w:pPr>
      <w:rPr>
        <w:rFonts w:ascii="Courier New" w:hAnsi="Courier New" w:cs="Courier New"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0" w15:restartNumberingAfterBreak="0">
    <w:nsid w:val="3C1B111D"/>
    <w:multiLevelType w:val="hybridMultilevel"/>
    <w:tmpl w:val="8BEC6708"/>
    <w:lvl w:ilvl="0" w:tplc="FFFFFFFF">
      <w:start w:val="1"/>
      <w:numFmt w:val="bullet"/>
      <w:lvlText w:val=""/>
      <w:lvlJc w:val="left"/>
      <w:pPr>
        <w:ind w:left="780" w:hanging="360"/>
      </w:pPr>
      <w:rPr>
        <w:rFonts w:ascii="Symbol" w:hAnsi="Symbol" w:hint="default"/>
      </w:rPr>
    </w:lvl>
    <w:lvl w:ilvl="1" w:tplc="FFFFFFFF" w:tentative="1">
      <w:start w:val="1"/>
      <w:numFmt w:val="bullet"/>
      <w:lvlText w:val="o"/>
      <w:lvlJc w:val="left"/>
      <w:pPr>
        <w:ind w:left="1500" w:hanging="360"/>
      </w:pPr>
      <w:rPr>
        <w:rFonts w:ascii="Courier New" w:hAnsi="Courier New" w:cs="Courier New" w:hint="default"/>
      </w:rPr>
    </w:lvl>
    <w:lvl w:ilvl="2" w:tplc="FFFFFFFF" w:tentative="1">
      <w:start w:val="1"/>
      <w:numFmt w:val="bullet"/>
      <w:lvlText w:val=""/>
      <w:lvlJc w:val="left"/>
      <w:pPr>
        <w:ind w:left="2220" w:hanging="360"/>
      </w:pPr>
      <w:rPr>
        <w:rFonts w:ascii="Wingdings" w:hAnsi="Wingdings" w:hint="default"/>
      </w:rPr>
    </w:lvl>
    <w:lvl w:ilvl="3" w:tplc="FFFFFFFF" w:tentative="1">
      <w:start w:val="1"/>
      <w:numFmt w:val="bullet"/>
      <w:lvlText w:val=""/>
      <w:lvlJc w:val="left"/>
      <w:pPr>
        <w:ind w:left="2940" w:hanging="360"/>
      </w:pPr>
      <w:rPr>
        <w:rFonts w:ascii="Symbol" w:hAnsi="Symbol" w:hint="default"/>
      </w:rPr>
    </w:lvl>
    <w:lvl w:ilvl="4" w:tplc="FFFFFFFF" w:tentative="1">
      <w:start w:val="1"/>
      <w:numFmt w:val="bullet"/>
      <w:lvlText w:val="o"/>
      <w:lvlJc w:val="left"/>
      <w:pPr>
        <w:ind w:left="3660" w:hanging="360"/>
      </w:pPr>
      <w:rPr>
        <w:rFonts w:ascii="Courier New" w:hAnsi="Courier New" w:cs="Courier New" w:hint="default"/>
      </w:rPr>
    </w:lvl>
    <w:lvl w:ilvl="5" w:tplc="FFFFFFFF" w:tentative="1">
      <w:start w:val="1"/>
      <w:numFmt w:val="bullet"/>
      <w:lvlText w:val=""/>
      <w:lvlJc w:val="left"/>
      <w:pPr>
        <w:ind w:left="4380" w:hanging="360"/>
      </w:pPr>
      <w:rPr>
        <w:rFonts w:ascii="Wingdings" w:hAnsi="Wingdings" w:hint="default"/>
      </w:rPr>
    </w:lvl>
    <w:lvl w:ilvl="6" w:tplc="FFFFFFFF" w:tentative="1">
      <w:start w:val="1"/>
      <w:numFmt w:val="bullet"/>
      <w:lvlText w:val=""/>
      <w:lvlJc w:val="left"/>
      <w:pPr>
        <w:ind w:left="5100" w:hanging="360"/>
      </w:pPr>
      <w:rPr>
        <w:rFonts w:ascii="Symbol" w:hAnsi="Symbol" w:hint="default"/>
      </w:rPr>
    </w:lvl>
    <w:lvl w:ilvl="7" w:tplc="FFFFFFFF" w:tentative="1">
      <w:start w:val="1"/>
      <w:numFmt w:val="bullet"/>
      <w:lvlText w:val="o"/>
      <w:lvlJc w:val="left"/>
      <w:pPr>
        <w:ind w:left="5820" w:hanging="360"/>
      </w:pPr>
      <w:rPr>
        <w:rFonts w:ascii="Courier New" w:hAnsi="Courier New" w:cs="Courier New" w:hint="default"/>
      </w:rPr>
    </w:lvl>
    <w:lvl w:ilvl="8" w:tplc="FFFFFFFF" w:tentative="1">
      <w:start w:val="1"/>
      <w:numFmt w:val="bullet"/>
      <w:lvlText w:val=""/>
      <w:lvlJc w:val="left"/>
      <w:pPr>
        <w:ind w:left="6540" w:hanging="360"/>
      </w:pPr>
      <w:rPr>
        <w:rFonts w:ascii="Wingdings" w:hAnsi="Wingdings" w:hint="default"/>
      </w:rPr>
    </w:lvl>
  </w:abstractNum>
  <w:abstractNum w:abstractNumId="11" w15:restartNumberingAfterBreak="0">
    <w:nsid w:val="3ED95A05"/>
    <w:multiLevelType w:val="hybridMultilevel"/>
    <w:tmpl w:val="4C826E32"/>
    <w:lvl w:ilvl="0" w:tplc="FFFFFFFF">
      <w:start w:val="1"/>
      <w:numFmt w:val="decimal"/>
      <w:lvlText w:val="%1."/>
      <w:lvlJc w:val="left"/>
      <w:pPr>
        <w:ind w:left="720" w:hanging="360"/>
      </w:pPr>
    </w:lvl>
    <w:lvl w:ilvl="1" w:tplc="FFFFFFFF">
      <w:start w:val="1"/>
      <w:numFmt w:val="decimal"/>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12" w15:restartNumberingAfterBreak="0">
    <w:nsid w:val="43957DA5"/>
    <w:multiLevelType w:val="hybridMultilevel"/>
    <w:tmpl w:val="2FD8DAFA"/>
    <w:lvl w:ilvl="0" w:tplc="FFFFFFFF">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3" w15:restartNumberingAfterBreak="0">
    <w:nsid w:val="479438A0"/>
    <w:multiLevelType w:val="hybridMultilevel"/>
    <w:tmpl w:val="2918E6A6"/>
    <w:lvl w:ilvl="0" w:tplc="FFFFFFFF">
      <w:start w:val="1"/>
      <w:numFmt w:val="bullet"/>
      <w:lvlText w:val="o"/>
      <w:lvlJc w:val="left"/>
      <w:pPr>
        <w:ind w:left="720" w:hanging="360"/>
      </w:pPr>
      <w:rPr>
        <w:rFonts w:ascii="Courier New" w:hAnsi="Courier New" w:cs="Courier New"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4" w15:restartNumberingAfterBreak="0">
    <w:nsid w:val="4A4C7982"/>
    <w:multiLevelType w:val="hybridMultilevel"/>
    <w:tmpl w:val="91747868"/>
    <w:lvl w:ilvl="0" w:tplc="FFFFFFFF">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5" w15:restartNumberingAfterBreak="0">
    <w:nsid w:val="58C71183"/>
    <w:multiLevelType w:val="hybridMultilevel"/>
    <w:tmpl w:val="D26636C0"/>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6" w15:restartNumberingAfterBreak="0">
    <w:nsid w:val="5ACC16EF"/>
    <w:multiLevelType w:val="hybridMultilevel"/>
    <w:tmpl w:val="18549C64"/>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7" w15:restartNumberingAfterBreak="0">
    <w:nsid w:val="5BBE5804"/>
    <w:multiLevelType w:val="hybridMultilevel"/>
    <w:tmpl w:val="B5A4C368"/>
    <w:lvl w:ilvl="0" w:tplc="FFFFFFFF">
      <w:start w:val="1"/>
      <w:numFmt w:val="decimal"/>
      <w:lvlText w:val="%1."/>
      <w:lvlJc w:val="left"/>
      <w:pPr>
        <w:ind w:left="2210" w:hanging="360"/>
      </w:pPr>
    </w:lvl>
    <w:lvl w:ilvl="1" w:tplc="FFFFFFFF" w:tentative="1">
      <w:start w:val="1"/>
      <w:numFmt w:val="lowerLetter"/>
      <w:lvlText w:val="%2."/>
      <w:lvlJc w:val="left"/>
      <w:pPr>
        <w:ind w:left="2930" w:hanging="360"/>
      </w:pPr>
    </w:lvl>
    <w:lvl w:ilvl="2" w:tplc="FFFFFFFF" w:tentative="1">
      <w:start w:val="1"/>
      <w:numFmt w:val="lowerRoman"/>
      <w:lvlText w:val="%3."/>
      <w:lvlJc w:val="right"/>
      <w:pPr>
        <w:ind w:left="3650" w:hanging="180"/>
      </w:pPr>
    </w:lvl>
    <w:lvl w:ilvl="3" w:tplc="FFFFFFFF" w:tentative="1">
      <w:start w:val="1"/>
      <w:numFmt w:val="decimal"/>
      <w:lvlText w:val="%4."/>
      <w:lvlJc w:val="left"/>
      <w:pPr>
        <w:ind w:left="4370" w:hanging="360"/>
      </w:pPr>
    </w:lvl>
    <w:lvl w:ilvl="4" w:tplc="FFFFFFFF" w:tentative="1">
      <w:start w:val="1"/>
      <w:numFmt w:val="lowerLetter"/>
      <w:lvlText w:val="%5."/>
      <w:lvlJc w:val="left"/>
      <w:pPr>
        <w:ind w:left="5090" w:hanging="360"/>
      </w:pPr>
    </w:lvl>
    <w:lvl w:ilvl="5" w:tplc="FFFFFFFF" w:tentative="1">
      <w:start w:val="1"/>
      <w:numFmt w:val="lowerRoman"/>
      <w:lvlText w:val="%6."/>
      <w:lvlJc w:val="right"/>
      <w:pPr>
        <w:ind w:left="5810" w:hanging="180"/>
      </w:pPr>
    </w:lvl>
    <w:lvl w:ilvl="6" w:tplc="FFFFFFFF" w:tentative="1">
      <w:start w:val="1"/>
      <w:numFmt w:val="decimal"/>
      <w:lvlText w:val="%7."/>
      <w:lvlJc w:val="left"/>
      <w:pPr>
        <w:ind w:left="6530" w:hanging="360"/>
      </w:pPr>
    </w:lvl>
    <w:lvl w:ilvl="7" w:tplc="FFFFFFFF" w:tentative="1">
      <w:start w:val="1"/>
      <w:numFmt w:val="lowerLetter"/>
      <w:lvlText w:val="%8."/>
      <w:lvlJc w:val="left"/>
      <w:pPr>
        <w:ind w:left="7250" w:hanging="360"/>
      </w:pPr>
    </w:lvl>
    <w:lvl w:ilvl="8" w:tplc="FFFFFFFF" w:tentative="1">
      <w:start w:val="1"/>
      <w:numFmt w:val="lowerRoman"/>
      <w:lvlText w:val="%9."/>
      <w:lvlJc w:val="right"/>
      <w:pPr>
        <w:ind w:left="7970" w:hanging="180"/>
      </w:pPr>
    </w:lvl>
  </w:abstractNum>
  <w:abstractNum w:abstractNumId="18" w15:restartNumberingAfterBreak="0">
    <w:nsid w:val="5BDD0884"/>
    <w:multiLevelType w:val="hybridMultilevel"/>
    <w:tmpl w:val="8BC213F0"/>
    <w:lvl w:ilvl="0" w:tplc="FFFFFFFF">
      <w:start w:val="3"/>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9" w15:restartNumberingAfterBreak="0">
    <w:nsid w:val="5FAE61C8"/>
    <w:multiLevelType w:val="hybridMultilevel"/>
    <w:tmpl w:val="18549C64"/>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0" w15:restartNumberingAfterBreak="0">
    <w:nsid w:val="613569DF"/>
    <w:multiLevelType w:val="hybridMultilevel"/>
    <w:tmpl w:val="AC62D890"/>
    <w:lvl w:ilvl="0" w:tplc="FFFFFFFF">
      <w:start w:val="1"/>
      <w:numFmt w:val="bullet"/>
      <w:lvlText w:val="o"/>
      <w:lvlJc w:val="left"/>
      <w:pPr>
        <w:ind w:left="720" w:hanging="360"/>
      </w:pPr>
      <w:rPr>
        <w:rFonts w:ascii="Courier New" w:hAnsi="Courier New" w:cs="Courier New"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1" w15:restartNumberingAfterBreak="0">
    <w:nsid w:val="67CD7B26"/>
    <w:multiLevelType w:val="hybridMultilevel"/>
    <w:tmpl w:val="2452A0BA"/>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2" w15:restartNumberingAfterBreak="0">
    <w:nsid w:val="6801473F"/>
    <w:multiLevelType w:val="hybridMultilevel"/>
    <w:tmpl w:val="713EB4F6"/>
    <w:lvl w:ilvl="0" w:tplc="FFFFFFFF">
      <w:start w:val="1"/>
      <w:numFmt w:val="bullet"/>
      <w:lvlText w:val=""/>
      <w:lvlJc w:val="left"/>
      <w:pPr>
        <w:ind w:left="1800" w:hanging="360"/>
      </w:pPr>
      <w:rPr>
        <w:rFonts w:ascii="Symbol" w:hAnsi="Symbol" w:hint="default"/>
      </w:rPr>
    </w:lvl>
    <w:lvl w:ilvl="1" w:tplc="FFFFFFFF" w:tentative="1">
      <w:start w:val="1"/>
      <w:numFmt w:val="bullet"/>
      <w:lvlText w:val="o"/>
      <w:lvlJc w:val="left"/>
      <w:pPr>
        <w:ind w:left="2520" w:hanging="360"/>
      </w:pPr>
      <w:rPr>
        <w:rFonts w:ascii="Courier New" w:hAnsi="Courier New" w:cs="Courier New" w:hint="default"/>
      </w:rPr>
    </w:lvl>
    <w:lvl w:ilvl="2" w:tplc="FFFFFFFF" w:tentative="1">
      <w:start w:val="1"/>
      <w:numFmt w:val="bullet"/>
      <w:lvlText w:val=""/>
      <w:lvlJc w:val="left"/>
      <w:pPr>
        <w:ind w:left="3240" w:hanging="360"/>
      </w:pPr>
      <w:rPr>
        <w:rFonts w:ascii="Wingdings" w:hAnsi="Wingdings" w:hint="default"/>
      </w:rPr>
    </w:lvl>
    <w:lvl w:ilvl="3" w:tplc="FFFFFFFF" w:tentative="1">
      <w:start w:val="1"/>
      <w:numFmt w:val="bullet"/>
      <w:lvlText w:val=""/>
      <w:lvlJc w:val="left"/>
      <w:pPr>
        <w:ind w:left="3960" w:hanging="360"/>
      </w:pPr>
      <w:rPr>
        <w:rFonts w:ascii="Symbol" w:hAnsi="Symbol" w:hint="default"/>
      </w:rPr>
    </w:lvl>
    <w:lvl w:ilvl="4" w:tplc="FFFFFFFF" w:tentative="1">
      <w:start w:val="1"/>
      <w:numFmt w:val="bullet"/>
      <w:lvlText w:val="o"/>
      <w:lvlJc w:val="left"/>
      <w:pPr>
        <w:ind w:left="4680" w:hanging="360"/>
      </w:pPr>
      <w:rPr>
        <w:rFonts w:ascii="Courier New" w:hAnsi="Courier New" w:cs="Courier New" w:hint="default"/>
      </w:rPr>
    </w:lvl>
    <w:lvl w:ilvl="5" w:tplc="FFFFFFFF" w:tentative="1">
      <w:start w:val="1"/>
      <w:numFmt w:val="bullet"/>
      <w:lvlText w:val=""/>
      <w:lvlJc w:val="left"/>
      <w:pPr>
        <w:ind w:left="5400" w:hanging="360"/>
      </w:pPr>
      <w:rPr>
        <w:rFonts w:ascii="Wingdings" w:hAnsi="Wingdings" w:hint="default"/>
      </w:rPr>
    </w:lvl>
    <w:lvl w:ilvl="6" w:tplc="FFFFFFFF" w:tentative="1">
      <w:start w:val="1"/>
      <w:numFmt w:val="bullet"/>
      <w:lvlText w:val=""/>
      <w:lvlJc w:val="left"/>
      <w:pPr>
        <w:ind w:left="6120" w:hanging="360"/>
      </w:pPr>
      <w:rPr>
        <w:rFonts w:ascii="Symbol" w:hAnsi="Symbol" w:hint="default"/>
      </w:rPr>
    </w:lvl>
    <w:lvl w:ilvl="7" w:tplc="FFFFFFFF" w:tentative="1">
      <w:start w:val="1"/>
      <w:numFmt w:val="bullet"/>
      <w:lvlText w:val="o"/>
      <w:lvlJc w:val="left"/>
      <w:pPr>
        <w:ind w:left="6840" w:hanging="360"/>
      </w:pPr>
      <w:rPr>
        <w:rFonts w:ascii="Courier New" w:hAnsi="Courier New" w:cs="Courier New" w:hint="default"/>
      </w:rPr>
    </w:lvl>
    <w:lvl w:ilvl="8" w:tplc="FFFFFFFF" w:tentative="1">
      <w:start w:val="1"/>
      <w:numFmt w:val="bullet"/>
      <w:lvlText w:val=""/>
      <w:lvlJc w:val="left"/>
      <w:pPr>
        <w:ind w:left="7560" w:hanging="360"/>
      </w:pPr>
      <w:rPr>
        <w:rFonts w:ascii="Wingdings" w:hAnsi="Wingdings" w:hint="default"/>
      </w:rPr>
    </w:lvl>
  </w:abstractNum>
  <w:abstractNum w:abstractNumId="23" w15:restartNumberingAfterBreak="0">
    <w:nsid w:val="6A9116A0"/>
    <w:multiLevelType w:val="hybridMultilevel"/>
    <w:tmpl w:val="6B44692A"/>
    <w:lvl w:ilvl="0" w:tplc="FFFFFFFF">
      <w:start w:val="1"/>
      <w:numFmt w:val="bullet"/>
      <w:lvlText w:val=""/>
      <w:lvlJc w:val="left"/>
      <w:pPr>
        <w:ind w:left="1080" w:hanging="360"/>
      </w:pPr>
      <w:rPr>
        <w:rFonts w:ascii="Symbol" w:hAnsi="Symbol" w:hint="default"/>
      </w:rPr>
    </w:lvl>
    <w:lvl w:ilvl="1" w:tplc="FFFFFFFF" w:tentative="1">
      <w:start w:val="1"/>
      <w:numFmt w:val="bullet"/>
      <w:lvlText w:val="o"/>
      <w:lvlJc w:val="left"/>
      <w:pPr>
        <w:ind w:left="1800" w:hanging="360"/>
      </w:pPr>
      <w:rPr>
        <w:rFonts w:ascii="Courier New" w:hAnsi="Courier New" w:cs="Courier New" w:hint="default"/>
      </w:rPr>
    </w:lvl>
    <w:lvl w:ilvl="2" w:tplc="FFFFFFFF" w:tentative="1">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24" w15:restartNumberingAfterBreak="0">
    <w:nsid w:val="701D69EB"/>
    <w:multiLevelType w:val="hybridMultilevel"/>
    <w:tmpl w:val="08027686"/>
    <w:lvl w:ilvl="0" w:tplc="FFFFFFFF">
      <w:start w:val="1"/>
      <w:numFmt w:val="bullet"/>
      <w:lvlText w:val="o"/>
      <w:lvlJc w:val="left"/>
      <w:pPr>
        <w:ind w:left="770" w:hanging="360"/>
      </w:pPr>
      <w:rPr>
        <w:rFonts w:ascii="Courier New" w:hAnsi="Courier New" w:cs="Courier New" w:hint="default"/>
      </w:rPr>
    </w:lvl>
    <w:lvl w:ilvl="1" w:tplc="FFFFFFFF" w:tentative="1">
      <w:start w:val="1"/>
      <w:numFmt w:val="bullet"/>
      <w:lvlText w:val="o"/>
      <w:lvlJc w:val="left"/>
      <w:pPr>
        <w:ind w:left="1490" w:hanging="360"/>
      </w:pPr>
      <w:rPr>
        <w:rFonts w:ascii="Courier New" w:hAnsi="Courier New" w:cs="Courier New" w:hint="default"/>
      </w:rPr>
    </w:lvl>
    <w:lvl w:ilvl="2" w:tplc="FFFFFFFF" w:tentative="1">
      <w:start w:val="1"/>
      <w:numFmt w:val="bullet"/>
      <w:lvlText w:val=""/>
      <w:lvlJc w:val="left"/>
      <w:pPr>
        <w:ind w:left="2210" w:hanging="360"/>
      </w:pPr>
      <w:rPr>
        <w:rFonts w:ascii="Wingdings" w:hAnsi="Wingdings" w:hint="default"/>
      </w:rPr>
    </w:lvl>
    <w:lvl w:ilvl="3" w:tplc="FFFFFFFF" w:tentative="1">
      <w:start w:val="1"/>
      <w:numFmt w:val="bullet"/>
      <w:lvlText w:val=""/>
      <w:lvlJc w:val="left"/>
      <w:pPr>
        <w:ind w:left="2930" w:hanging="360"/>
      </w:pPr>
      <w:rPr>
        <w:rFonts w:ascii="Symbol" w:hAnsi="Symbol" w:hint="default"/>
      </w:rPr>
    </w:lvl>
    <w:lvl w:ilvl="4" w:tplc="FFFFFFFF" w:tentative="1">
      <w:start w:val="1"/>
      <w:numFmt w:val="bullet"/>
      <w:lvlText w:val="o"/>
      <w:lvlJc w:val="left"/>
      <w:pPr>
        <w:ind w:left="3650" w:hanging="360"/>
      </w:pPr>
      <w:rPr>
        <w:rFonts w:ascii="Courier New" w:hAnsi="Courier New" w:cs="Courier New" w:hint="default"/>
      </w:rPr>
    </w:lvl>
    <w:lvl w:ilvl="5" w:tplc="FFFFFFFF" w:tentative="1">
      <w:start w:val="1"/>
      <w:numFmt w:val="bullet"/>
      <w:lvlText w:val=""/>
      <w:lvlJc w:val="left"/>
      <w:pPr>
        <w:ind w:left="4370" w:hanging="360"/>
      </w:pPr>
      <w:rPr>
        <w:rFonts w:ascii="Wingdings" w:hAnsi="Wingdings" w:hint="default"/>
      </w:rPr>
    </w:lvl>
    <w:lvl w:ilvl="6" w:tplc="FFFFFFFF" w:tentative="1">
      <w:start w:val="1"/>
      <w:numFmt w:val="bullet"/>
      <w:lvlText w:val=""/>
      <w:lvlJc w:val="left"/>
      <w:pPr>
        <w:ind w:left="5090" w:hanging="360"/>
      </w:pPr>
      <w:rPr>
        <w:rFonts w:ascii="Symbol" w:hAnsi="Symbol" w:hint="default"/>
      </w:rPr>
    </w:lvl>
    <w:lvl w:ilvl="7" w:tplc="FFFFFFFF" w:tentative="1">
      <w:start w:val="1"/>
      <w:numFmt w:val="bullet"/>
      <w:lvlText w:val="o"/>
      <w:lvlJc w:val="left"/>
      <w:pPr>
        <w:ind w:left="5810" w:hanging="360"/>
      </w:pPr>
      <w:rPr>
        <w:rFonts w:ascii="Courier New" w:hAnsi="Courier New" w:cs="Courier New" w:hint="default"/>
      </w:rPr>
    </w:lvl>
    <w:lvl w:ilvl="8" w:tplc="FFFFFFFF" w:tentative="1">
      <w:start w:val="1"/>
      <w:numFmt w:val="bullet"/>
      <w:lvlText w:val=""/>
      <w:lvlJc w:val="left"/>
      <w:pPr>
        <w:ind w:left="6530" w:hanging="360"/>
      </w:pPr>
      <w:rPr>
        <w:rFonts w:ascii="Wingdings" w:hAnsi="Wingdings" w:hint="default"/>
      </w:rPr>
    </w:lvl>
  </w:abstractNum>
  <w:abstractNum w:abstractNumId="25" w15:restartNumberingAfterBreak="0">
    <w:nsid w:val="778572E4"/>
    <w:multiLevelType w:val="hybridMultilevel"/>
    <w:tmpl w:val="18549C64"/>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6" w15:restartNumberingAfterBreak="0">
    <w:nsid w:val="7CC975CA"/>
    <w:multiLevelType w:val="hybridMultilevel"/>
    <w:tmpl w:val="138C4158"/>
    <w:lvl w:ilvl="0" w:tplc="FFFFFFFF">
      <w:start w:val="10"/>
      <w:numFmt w:val="bullet"/>
      <w:lvlText w:val=""/>
      <w:lvlJc w:val="left"/>
      <w:pPr>
        <w:ind w:left="720" w:hanging="360"/>
      </w:pPr>
      <w:rPr>
        <w:rFonts w:ascii="Symbol" w:hAnsi="Symbol" w:cs="Times New Roman" w:hint="default"/>
        <w:color w:val="0070C0"/>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7" w15:restartNumberingAfterBreak="0">
    <w:nsid w:val="7D6133BA"/>
    <w:multiLevelType w:val="hybridMultilevel"/>
    <w:tmpl w:val="1AE876A4"/>
    <w:lvl w:ilvl="0" w:tplc="FFFFFFFF">
      <w:numFmt w:val="bullet"/>
      <w:lvlText w:val="-"/>
      <w:lvlJc w:val="left"/>
      <w:pPr>
        <w:ind w:left="720" w:hanging="360"/>
      </w:pPr>
      <w:rPr>
        <w:rFonts w:ascii="Arial" w:eastAsia="Aptos" w:hAnsi="Arial" w:cs="Aria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num w:numId="1" w16cid:durableId="176886974">
    <w:abstractNumId w:val="13"/>
  </w:num>
  <w:num w:numId="2" w16cid:durableId="2147354124">
    <w:abstractNumId w:val="1"/>
  </w:num>
  <w:num w:numId="3" w16cid:durableId="542407114">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184372606">
    <w:abstractNumId w:val="0"/>
  </w:num>
  <w:num w:numId="5" w16cid:durableId="462385855">
    <w:abstractNumId w:val="17"/>
  </w:num>
  <w:num w:numId="6" w16cid:durableId="1203205249">
    <w:abstractNumId w:val="22"/>
  </w:num>
  <w:num w:numId="7" w16cid:durableId="974801078">
    <w:abstractNumId w:val="14"/>
  </w:num>
  <w:num w:numId="8" w16cid:durableId="777409781">
    <w:abstractNumId w:val="23"/>
  </w:num>
  <w:num w:numId="9" w16cid:durableId="2037608983">
    <w:abstractNumId w:val="20"/>
  </w:num>
  <w:num w:numId="10" w16cid:durableId="514006327">
    <w:abstractNumId w:val="19"/>
  </w:num>
  <w:num w:numId="11" w16cid:durableId="1856924041">
    <w:abstractNumId w:val="16"/>
  </w:num>
  <w:num w:numId="12" w16cid:durableId="1750811499">
    <w:abstractNumId w:val="25"/>
  </w:num>
  <w:num w:numId="13" w16cid:durableId="422848062">
    <w:abstractNumId w:val="8"/>
  </w:num>
  <w:num w:numId="14" w16cid:durableId="1669014577">
    <w:abstractNumId w:val="2"/>
  </w:num>
  <w:num w:numId="15" w16cid:durableId="540360449">
    <w:abstractNumId w:val="24"/>
  </w:num>
  <w:num w:numId="16" w16cid:durableId="1470593489">
    <w:abstractNumId w:val="9"/>
  </w:num>
  <w:num w:numId="17" w16cid:durableId="611786566">
    <w:abstractNumId w:val="10"/>
  </w:num>
  <w:num w:numId="18" w16cid:durableId="2006087965">
    <w:abstractNumId w:val="21"/>
  </w:num>
  <w:num w:numId="19" w16cid:durableId="659385729">
    <w:abstractNumId w:val="15"/>
  </w:num>
  <w:num w:numId="20" w16cid:durableId="1231891031">
    <w:abstractNumId w:val="6"/>
  </w:num>
  <w:num w:numId="21" w16cid:durableId="92557741">
    <w:abstractNumId w:val="18"/>
  </w:num>
  <w:num w:numId="22" w16cid:durableId="482964918">
    <w:abstractNumId w:val="5"/>
  </w:num>
  <w:num w:numId="23" w16cid:durableId="558711821">
    <w:abstractNumId w:val="27"/>
  </w:num>
  <w:num w:numId="24" w16cid:durableId="1857184261">
    <w:abstractNumId w:val="3"/>
  </w:num>
  <w:num w:numId="25" w16cid:durableId="558632306">
    <w:abstractNumId w:val="12"/>
  </w:num>
  <w:num w:numId="26" w16cid:durableId="324628784">
    <w:abstractNumId w:val="7"/>
  </w:num>
  <w:num w:numId="27" w16cid:durableId="560555201">
    <w:abstractNumId w:val="4"/>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16cid:durableId="84965271">
    <w:abstractNumId w:val="2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0"/>
  <w:proofState w:spelling="clean" w:grammar="clean"/>
  <w:defaultTabStop w:val="720"/>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82102"/>
    <w:rsid w:val="000023E1"/>
    <w:rsid w:val="000054B5"/>
    <w:rsid w:val="000116EB"/>
    <w:rsid w:val="0001234B"/>
    <w:rsid w:val="00023AC7"/>
    <w:rsid w:val="0002460E"/>
    <w:rsid w:val="00024E6B"/>
    <w:rsid w:val="0003516B"/>
    <w:rsid w:val="0003787F"/>
    <w:rsid w:val="000410DE"/>
    <w:rsid w:val="00070B9F"/>
    <w:rsid w:val="000722BC"/>
    <w:rsid w:val="0007636E"/>
    <w:rsid w:val="000831B3"/>
    <w:rsid w:val="00094B7E"/>
    <w:rsid w:val="000A0C1B"/>
    <w:rsid w:val="000A4D76"/>
    <w:rsid w:val="000B15EF"/>
    <w:rsid w:val="000B6839"/>
    <w:rsid w:val="000B7DBE"/>
    <w:rsid w:val="000D1EFA"/>
    <w:rsid w:val="000D2A6E"/>
    <w:rsid w:val="000D5B4F"/>
    <w:rsid w:val="000D6748"/>
    <w:rsid w:val="000D77E3"/>
    <w:rsid w:val="000E2C61"/>
    <w:rsid w:val="000E3CB7"/>
    <w:rsid w:val="000F195C"/>
    <w:rsid w:val="000F281C"/>
    <w:rsid w:val="000F4513"/>
    <w:rsid w:val="000F615C"/>
    <w:rsid w:val="00102288"/>
    <w:rsid w:val="001051D6"/>
    <w:rsid w:val="0010667D"/>
    <w:rsid w:val="001102D0"/>
    <w:rsid w:val="001132B5"/>
    <w:rsid w:val="00113802"/>
    <w:rsid w:val="00116DB0"/>
    <w:rsid w:val="00125A6D"/>
    <w:rsid w:val="001322F0"/>
    <w:rsid w:val="001325FD"/>
    <w:rsid w:val="00146C15"/>
    <w:rsid w:val="001542F2"/>
    <w:rsid w:val="00157934"/>
    <w:rsid w:val="0018530D"/>
    <w:rsid w:val="0018534F"/>
    <w:rsid w:val="001A0CDD"/>
    <w:rsid w:val="001A6E62"/>
    <w:rsid w:val="001B064B"/>
    <w:rsid w:val="001B25D2"/>
    <w:rsid w:val="001B491B"/>
    <w:rsid w:val="001C21A5"/>
    <w:rsid w:val="001C3FD2"/>
    <w:rsid w:val="001E2101"/>
    <w:rsid w:val="001F4970"/>
    <w:rsid w:val="00211C0D"/>
    <w:rsid w:val="00223C75"/>
    <w:rsid w:val="00226524"/>
    <w:rsid w:val="002266B1"/>
    <w:rsid w:val="00231000"/>
    <w:rsid w:val="002340A9"/>
    <w:rsid w:val="0023613D"/>
    <w:rsid w:val="002404DC"/>
    <w:rsid w:val="00245A9B"/>
    <w:rsid w:val="002563BF"/>
    <w:rsid w:val="00257194"/>
    <w:rsid w:val="00270413"/>
    <w:rsid w:val="00270533"/>
    <w:rsid w:val="00270809"/>
    <w:rsid w:val="0027112F"/>
    <w:rsid w:val="00284394"/>
    <w:rsid w:val="002845EF"/>
    <w:rsid w:val="002876EB"/>
    <w:rsid w:val="00292B80"/>
    <w:rsid w:val="0029348C"/>
    <w:rsid w:val="002A00D3"/>
    <w:rsid w:val="002A239A"/>
    <w:rsid w:val="002A2A9A"/>
    <w:rsid w:val="002A342E"/>
    <w:rsid w:val="002B0F32"/>
    <w:rsid w:val="002B6372"/>
    <w:rsid w:val="002B6845"/>
    <w:rsid w:val="002C169D"/>
    <w:rsid w:val="002C2530"/>
    <w:rsid w:val="002C37D4"/>
    <w:rsid w:val="002C3CC4"/>
    <w:rsid w:val="002C584E"/>
    <w:rsid w:val="002C7D2D"/>
    <w:rsid w:val="002D4FDD"/>
    <w:rsid w:val="002D554E"/>
    <w:rsid w:val="002E2CCB"/>
    <w:rsid w:val="002E4D06"/>
    <w:rsid w:val="00300EA3"/>
    <w:rsid w:val="00303D90"/>
    <w:rsid w:val="0030775B"/>
    <w:rsid w:val="003236EF"/>
    <w:rsid w:val="00332369"/>
    <w:rsid w:val="00333531"/>
    <w:rsid w:val="00337D49"/>
    <w:rsid w:val="00343764"/>
    <w:rsid w:val="003459EA"/>
    <w:rsid w:val="00356623"/>
    <w:rsid w:val="003620C9"/>
    <w:rsid w:val="00363B2C"/>
    <w:rsid w:val="0036742E"/>
    <w:rsid w:val="00370623"/>
    <w:rsid w:val="00370645"/>
    <w:rsid w:val="0037235E"/>
    <w:rsid w:val="0037765C"/>
    <w:rsid w:val="003859DC"/>
    <w:rsid w:val="003A532D"/>
    <w:rsid w:val="003B1329"/>
    <w:rsid w:val="003B63DF"/>
    <w:rsid w:val="003C3ACE"/>
    <w:rsid w:val="003C40FF"/>
    <w:rsid w:val="003C4F36"/>
    <w:rsid w:val="003D2A2D"/>
    <w:rsid w:val="003D2CFB"/>
    <w:rsid w:val="003E00A4"/>
    <w:rsid w:val="003E10BC"/>
    <w:rsid w:val="003E2D61"/>
    <w:rsid w:val="003E377A"/>
    <w:rsid w:val="003E5013"/>
    <w:rsid w:val="003E5784"/>
    <w:rsid w:val="003E5961"/>
    <w:rsid w:val="003E6B7F"/>
    <w:rsid w:val="004075AB"/>
    <w:rsid w:val="00407C35"/>
    <w:rsid w:val="00416BDB"/>
    <w:rsid w:val="004346B4"/>
    <w:rsid w:val="00436878"/>
    <w:rsid w:val="00442417"/>
    <w:rsid w:val="00444755"/>
    <w:rsid w:val="004602B7"/>
    <w:rsid w:val="00463858"/>
    <w:rsid w:val="00476616"/>
    <w:rsid w:val="00490168"/>
    <w:rsid w:val="0049755B"/>
    <w:rsid w:val="00497901"/>
    <w:rsid w:val="004A15D9"/>
    <w:rsid w:val="004B0B31"/>
    <w:rsid w:val="004B18D2"/>
    <w:rsid w:val="004C0803"/>
    <w:rsid w:val="004C17E0"/>
    <w:rsid w:val="004C7574"/>
    <w:rsid w:val="004D3877"/>
    <w:rsid w:val="004E3887"/>
    <w:rsid w:val="004F642D"/>
    <w:rsid w:val="0050545C"/>
    <w:rsid w:val="0051160D"/>
    <w:rsid w:val="00513137"/>
    <w:rsid w:val="00513A6C"/>
    <w:rsid w:val="00514F5E"/>
    <w:rsid w:val="00515EE3"/>
    <w:rsid w:val="005222BC"/>
    <w:rsid w:val="0052395E"/>
    <w:rsid w:val="00526117"/>
    <w:rsid w:val="00532E25"/>
    <w:rsid w:val="00545853"/>
    <w:rsid w:val="00545FF2"/>
    <w:rsid w:val="00550FC8"/>
    <w:rsid w:val="00555438"/>
    <w:rsid w:val="005578BF"/>
    <w:rsid w:val="00565B87"/>
    <w:rsid w:val="00570620"/>
    <w:rsid w:val="00571A53"/>
    <w:rsid w:val="00580BDE"/>
    <w:rsid w:val="00582AC5"/>
    <w:rsid w:val="00584A92"/>
    <w:rsid w:val="005850CA"/>
    <w:rsid w:val="00590546"/>
    <w:rsid w:val="00593A76"/>
    <w:rsid w:val="00593E78"/>
    <w:rsid w:val="00594E33"/>
    <w:rsid w:val="00594F8F"/>
    <w:rsid w:val="005A1124"/>
    <w:rsid w:val="005A53C1"/>
    <w:rsid w:val="005A7BCB"/>
    <w:rsid w:val="005B1FBC"/>
    <w:rsid w:val="005C02C1"/>
    <w:rsid w:val="005C0899"/>
    <w:rsid w:val="005E0F8E"/>
    <w:rsid w:val="005E11D8"/>
    <w:rsid w:val="005E1BFB"/>
    <w:rsid w:val="005E48B5"/>
    <w:rsid w:val="005F3633"/>
    <w:rsid w:val="005F3F25"/>
    <w:rsid w:val="005F4DEE"/>
    <w:rsid w:val="005F6967"/>
    <w:rsid w:val="005F6D5E"/>
    <w:rsid w:val="005F736E"/>
    <w:rsid w:val="006001E0"/>
    <w:rsid w:val="00612084"/>
    <w:rsid w:val="00617C22"/>
    <w:rsid w:val="00622826"/>
    <w:rsid w:val="00623DD9"/>
    <w:rsid w:val="006242EC"/>
    <w:rsid w:val="00624628"/>
    <w:rsid w:val="006251BF"/>
    <w:rsid w:val="00626DA4"/>
    <w:rsid w:val="00627D4D"/>
    <w:rsid w:val="00632F7D"/>
    <w:rsid w:val="00634347"/>
    <w:rsid w:val="00641766"/>
    <w:rsid w:val="00646AC2"/>
    <w:rsid w:val="006504AD"/>
    <w:rsid w:val="0065386E"/>
    <w:rsid w:val="006569F1"/>
    <w:rsid w:val="006622E5"/>
    <w:rsid w:val="006636F6"/>
    <w:rsid w:val="006737D5"/>
    <w:rsid w:val="006743C9"/>
    <w:rsid w:val="00676B8F"/>
    <w:rsid w:val="006830B6"/>
    <w:rsid w:val="00695240"/>
    <w:rsid w:val="006A2871"/>
    <w:rsid w:val="006A6684"/>
    <w:rsid w:val="006B1FF0"/>
    <w:rsid w:val="006D22FD"/>
    <w:rsid w:val="006D4C54"/>
    <w:rsid w:val="006D6A16"/>
    <w:rsid w:val="006E027F"/>
    <w:rsid w:val="006E5308"/>
    <w:rsid w:val="006F6D94"/>
    <w:rsid w:val="006F7E6C"/>
    <w:rsid w:val="007018A3"/>
    <w:rsid w:val="00702749"/>
    <w:rsid w:val="00710F03"/>
    <w:rsid w:val="007220CF"/>
    <w:rsid w:val="007279C2"/>
    <w:rsid w:val="007325A4"/>
    <w:rsid w:val="00735289"/>
    <w:rsid w:val="00750B3F"/>
    <w:rsid w:val="007523B5"/>
    <w:rsid w:val="00754092"/>
    <w:rsid w:val="00766C5C"/>
    <w:rsid w:val="00771E65"/>
    <w:rsid w:val="0077255D"/>
    <w:rsid w:val="00772F63"/>
    <w:rsid w:val="00782102"/>
    <w:rsid w:val="007907CC"/>
    <w:rsid w:val="00793A8B"/>
    <w:rsid w:val="0079470A"/>
    <w:rsid w:val="00795209"/>
    <w:rsid w:val="007B2C20"/>
    <w:rsid w:val="007B6E65"/>
    <w:rsid w:val="007B7E78"/>
    <w:rsid w:val="007C1E5E"/>
    <w:rsid w:val="007C2FFC"/>
    <w:rsid w:val="007D3B33"/>
    <w:rsid w:val="007D4987"/>
    <w:rsid w:val="007D577D"/>
    <w:rsid w:val="007D652A"/>
    <w:rsid w:val="007D66AC"/>
    <w:rsid w:val="007D7D32"/>
    <w:rsid w:val="007E3A9C"/>
    <w:rsid w:val="007F7978"/>
    <w:rsid w:val="00803C21"/>
    <w:rsid w:val="00812B35"/>
    <w:rsid w:val="008177E5"/>
    <w:rsid w:val="00825148"/>
    <w:rsid w:val="00825AC8"/>
    <w:rsid w:val="0083170B"/>
    <w:rsid w:val="00832DB6"/>
    <w:rsid w:val="00836F73"/>
    <w:rsid w:val="008377E7"/>
    <w:rsid w:val="00843344"/>
    <w:rsid w:val="0084728B"/>
    <w:rsid w:val="008530D2"/>
    <w:rsid w:val="008546AB"/>
    <w:rsid w:val="008566B9"/>
    <w:rsid w:val="00866610"/>
    <w:rsid w:val="0087596D"/>
    <w:rsid w:val="00875E7E"/>
    <w:rsid w:val="00881DAC"/>
    <w:rsid w:val="008877F9"/>
    <w:rsid w:val="00892BF1"/>
    <w:rsid w:val="00894F90"/>
    <w:rsid w:val="008A3143"/>
    <w:rsid w:val="008A52FA"/>
    <w:rsid w:val="008B5D98"/>
    <w:rsid w:val="008B6A93"/>
    <w:rsid w:val="008B73DB"/>
    <w:rsid w:val="008C516C"/>
    <w:rsid w:val="008C691B"/>
    <w:rsid w:val="008D677A"/>
    <w:rsid w:val="008E094E"/>
    <w:rsid w:val="008E19B4"/>
    <w:rsid w:val="008E2322"/>
    <w:rsid w:val="008E6DAB"/>
    <w:rsid w:val="008F7799"/>
    <w:rsid w:val="00900E5F"/>
    <w:rsid w:val="009054CB"/>
    <w:rsid w:val="00913671"/>
    <w:rsid w:val="009219B5"/>
    <w:rsid w:val="00933223"/>
    <w:rsid w:val="00957BE8"/>
    <w:rsid w:val="00960499"/>
    <w:rsid w:val="009625D0"/>
    <w:rsid w:val="009661CC"/>
    <w:rsid w:val="00972654"/>
    <w:rsid w:val="00976401"/>
    <w:rsid w:val="00983A64"/>
    <w:rsid w:val="009878D7"/>
    <w:rsid w:val="009A0EC2"/>
    <w:rsid w:val="009A181F"/>
    <w:rsid w:val="009A5D9A"/>
    <w:rsid w:val="009A7AB3"/>
    <w:rsid w:val="009B1656"/>
    <w:rsid w:val="009B25D4"/>
    <w:rsid w:val="009B5369"/>
    <w:rsid w:val="009C4D39"/>
    <w:rsid w:val="009C6D5E"/>
    <w:rsid w:val="009C753D"/>
    <w:rsid w:val="009D20B9"/>
    <w:rsid w:val="009D4BA6"/>
    <w:rsid w:val="009E0409"/>
    <w:rsid w:val="009F25FF"/>
    <w:rsid w:val="009F53C2"/>
    <w:rsid w:val="00A05096"/>
    <w:rsid w:val="00A265C6"/>
    <w:rsid w:val="00A27065"/>
    <w:rsid w:val="00A30D35"/>
    <w:rsid w:val="00A324BA"/>
    <w:rsid w:val="00A32808"/>
    <w:rsid w:val="00A33867"/>
    <w:rsid w:val="00A36BFD"/>
    <w:rsid w:val="00A42400"/>
    <w:rsid w:val="00A43708"/>
    <w:rsid w:val="00A45BDF"/>
    <w:rsid w:val="00A52151"/>
    <w:rsid w:val="00A54144"/>
    <w:rsid w:val="00A66967"/>
    <w:rsid w:val="00A724F9"/>
    <w:rsid w:val="00A73D0F"/>
    <w:rsid w:val="00A83CA9"/>
    <w:rsid w:val="00A95446"/>
    <w:rsid w:val="00A97010"/>
    <w:rsid w:val="00A97642"/>
    <w:rsid w:val="00AA03D8"/>
    <w:rsid w:val="00AA5BC4"/>
    <w:rsid w:val="00AA6FE7"/>
    <w:rsid w:val="00AB0673"/>
    <w:rsid w:val="00AB1F06"/>
    <w:rsid w:val="00AB6690"/>
    <w:rsid w:val="00AB7675"/>
    <w:rsid w:val="00AC03A8"/>
    <w:rsid w:val="00AC0B43"/>
    <w:rsid w:val="00AD03B3"/>
    <w:rsid w:val="00AD1438"/>
    <w:rsid w:val="00AD1746"/>
    <w:rsid w:val="00AD48E5"/>
    <w:rsid w:val="00AD7807"/>
    <w:rsid w:val="00AE22DB"/>
    <w:rsid w:val="00AE3FE3"/>
    <w:rsid w:val="00AE6A29"/>
    <w:rsid w:val="00AE7ABC"/>
    <w:rsid w:val="00B10A93"/>
    <w:rsid w:val="00B12225"/>
    <w:rsid w:val="00B17193"/>
    <w:rsid w:val="00B22F47"/>
    <w:rsid w:val="00B26620"/>
    <w:rsid w:val="00B27EA5"/>
    <w:rsid w:val="00B307C9"/>
    <w:rsid w:val="00B467DD"/>
    <w:rsid w:val="00B5105B"/>
    <w:rsid w:val="00B54215"/>
    <w:rsid w:val="00B62799"/>
    <w:rsid w:val="00B62CD4"/>
    <w:rsid w:val="00B632AF"/>
    <w:rsid w:val="00B643D7"/>
    <w:rsid w:val="00B6452E"/>
    <w:rsid w:val="00B73510"/>
    <w:rsid w:val="00B84C2C"/>
    <w:rsid w:val="00B92D67"/>
    <w:rsid w:val="00B933E4"/>
    <w:rsid w:val="00BA0C6A"/>
    <w:rsid w:val="00BA3332"/>
    <w:rsid w:val="00BB3110"/>
    <w:rsid w:val="00BD11C7"/>
    <w:rsid w:val="00BE2708"/>
    <w:rsid w:val="00BE6607"/>
    <w:rsid w:val="00BF0B99"/>
    <w:rsid w:val="00BF105F"/>
    <w:rsid w:val="00BF4A02"/>
    <w:rsid w:val="00C060E9"/>
    <w:rsid w:val="00C200F7"/>
    <w:rsid w:val="00C2120F"/>
    <w:rsid w:val="00C2188C"/>
    <w:rsid w:val="00C31972"/>
    <w:rsid w:val="00C36B74"/>
    <w:rsid w:val="00C36E13"/>
    <w:rsid w:val="00C37CD8"/>
    <w:rsid w:val="00C502B0"/>
    <w:rsid w:val="00C53240"/>
    <w:rsid w:val="00C5465A"/>
    <w:rsid w:val="00C6729F"/>
    <w:rsid w:val="00C74721"/>
    <w:rsid w:val="00C74F76"/>
    <w:rsid w:val="00C755F8"/>
    <w:rsid w:val="00C9246D"/>
    <w:rsid w:val="00C95F4A"/>
    <w:rsid w:val="00CA183A"/>
    <w:rsid w:val="00CA3904"/>
    <w:rsid w:val="00CA3E46"/>
    <w:rsid w:val="00CA4078"/>
    <w:rsid w:val="00CC3B17"/>
    <w:rsid w:val="00CC5BE7"/>
    <w:rsid w:val="00CC6803"/>
    <w:rsid w:val="00CD1D02"/>
    <w:rsid w:val="00CD5671"/>
    <w:rsid w:val="00CE144E"/>
    <w:rsid w:val="00CE433C"/>
    <w:rsid w:val="00CE5F48"/>
    <w:rsid w:val="00CF01C5"/>
    <w:rsid w:val="00D003B4"/>
    <w:rsid w:val="00D004B3"/>
    <w:rsid w:val="00D01BEF"/>
    <w:rsid w:val="00D02932"/>
    <w:rsid w:val="00D03008"/>
    <w:rsid w:val="00D06189"/>
    <w:rsid w:val="00D1320A"/>
    <w:rsid w:val="00D13FFB"/>
    <w:rsid w:val="00D25D09"/>
    <w:rsid w:val="00D41527"/>
    <w:rsid w:val="00D53C57"/>
    <w:rsid w:val="00D57487"/>
    <w:rsid w:val="00D65282"/>
    <w:rsid w:val="00D71838"/>
    <w:rsid w:val="00D807CD"/>
    <w:rsid w:val="00D81B22"/>
    <w:rsid w:val="00D81B7B"/>
    <w:rsid w:val="00D90CB9"/>
    <w:rsid w:val="00D91F38"/>
    <w:rsid w:val="00D928A6"/>
    <w:rsid w:val="00DA1601"/>
    <w:rsid w:val="00DA5760"/>
    <w:rsid w:val="00DA5F56"/>
    <w:rsid w:val="00DB081C"/>
    <w:rsid w:val="00DB2670"/>
    <w:rsid w:val="00DB3FB5"/>
    <w:rsid w:val="00DC0C2E"/>
    <w:rsid w:val="00DC1B14"/>
    <w:rsid w:val="00DD3B03"/>
    <w:rsid w:val="00DE20BA"/>
    <w:rsid w:val="00DE2155"/>
    <w:rsid w:val="00DF2DD2"/>
    <w:rsid w:val="00DF50A1"/>
    <w:rsid w:val="00DF6BFD"/>
    <w:rsid w:val="00DF6DEA"/>
    <w:rsid w:val="00DF7BCD"/>
    <w:rsid w:val="00E0253A"/>
    <w:rsid w:val="00E06A55"/>
    <w:rsid w:val="00E075BD"/>
    <w:rsid w:val="00E159C8"/>
    <w:rsid w:val="00E21BA9"/>
    <w:rsid w:val="00E31CFE"/>
    <w:rsid w:val="00E41446"/>
    <w:rsid w:val="00E45F7A"/>
    <w:rsid w:val="00E47C5F"/>
    <w:rsid w:val="00E50CEE"/>
    <w:rsid w:val="00E512E6"/>
    <w:rsid w:val="00E657B8"/>
    <w:rsid w:val="00E672DF"/>
    <w:rsid w:val="00E71CE8"/>
    <w:rsid w:val="00E730A0"/>
    <w:rsid w:val="00E75197"/>
    <w:rsid w:val="00E77B66"/>
    <w:rsid w:val="00E84D89"/>
    <w:rsid w:val="00E90FA7"/>
    <w:rsid w:val="00E95946"/>
    <w:rsid w:val="00EA1A2F"/>
    <w:rsid w:val="00EA3939"/>
    <w:rsid w:val="00EC7FA1"/>
    <w:rsid w:val="00ED43D1"/>
    <w:rsid w:val="00ED50C9"/>
    <w:rsid w:val="00ED5865"/>
    <w:rsid w:val="00ED6D40"/>
    <w:rsid w:val="00F045D0"/>
    <w:rsid w:val="00F05890"/>
    <w:rsid w:val="00F103A6"/>
    <w:rsid w:val="00F13C40"/>
    <w:rsid w:val="00F40196"/>
    <w:rsid w:val="00F64687"/>
    <w:rsid w:val="00F6470F"/>
    <w:rsid w:val="00F66D4F"/>
    <w:rsid w:val="00F67043"/>
    <w:rsid w:val="00F67FFA"/>
    <w:rsid w:val="00F86167"/>
    <w:rsid w:val="00F86200"/>
    <w:rsid w:val="00F90C80"/>
    <w:rsid w:val="00FA1109"/>
    <w:rsid w:val="00FA3613"/>
    <w:rsid w:val="00FA37B4"/>
    <w:rsid w:val="00FA6938"/>
    <w:rsid w:val="00FA7A1D"/>
    <w:rsid w:val="00FB4974"/>
    <w:rsid w:val="00FE19A7"/>
    <w:rsid w:val="00FE36CA"/>
    <w:rsid w:val="00FF231A"/>
    <w:rsid w:val="00FF3AC6"/>
    <w:rsid w:val="00FF4E71"/>
    <w:rsid w:val="00FF6012"/>
    <w:rsid w:val="00FF795A"/>
    <w:rsid w:val="1C230BE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891CEAE"/>
  <w15:chartTrackingRefBased/>
  <w15:docId w15:val="{78B2BF4C-E5BC-4594-B0AB-0C06B7FE9F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alibri" w:eastAsia="Calibri" w:hAnsi="Calibri" w:cs="Times New Roman"/>
        <w:lang w:val="de-DE"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45FF2"/>
    <w:pPr>
      <w:spacing w:after="200" w:line="276" w:lineRule="auto"/>
    </w:pPr>
    <w:rPr>
      <w:rFonts w:ascii="Arial" w:eastAsia="Times New Roman" w:hAnsi="Arial"/>
      <w:sz w:val="22"/>
      <w:szCs w:val="22"/>
      <w:lang w:bidi="en-US"/>
    </w:rPr>
  </w:style>
  <w:style w:type="paragraph" w:styleId="Titre1">
    <w:name w:val="heading 1"/>
    <w:basedOn w:val="Normal"/>
    <w:next w:val="Normal"/>
    <w:link w:val="Titre1Car"/>
    <w:uiPriority w:val="9"/>
    <w:qFormat/>
    <w:rsid w:val="005F6967"/>
    <w:pPr>
      <w:keepNext/>
      <w:keepLines/>
      <w:spacing w:before="480" w:after="0"/>
      <w:outlineLvl w:val="0"/>
    </w:pPr>
    <w:rPr>
      <w:b/>
      <w:bCs/>
      <w:color w:val="0A77B3"/>
      <w:sz w:val="28"/>
      <w:szCs w:val="28"/>
    </w:rPr>
  </w:style>
  <w:style w:type="paragraph" w:styleId="Titre2">
    <w:name w:val="heading 2"/>
    <w:basedOn w:val="Normal"/>
    <w:next w:val="Normal"/>
    <w:link w:val="Titre2Car"/>
    <w:uiPriority w:val="9"/>
    <w:qFormat/>
    <w:rsid w:val="005F6967"/>
    <w:pPr>
      <w:keepNext/>
      <w:keepLines/>
      <w:spacing w:before="200" w:after="0"/>
      <w:outlineLvl w:val="1"/>
    </w:pPr>
    <w:rPr>
      <w:b/>
      <w:bCs/>
      <w:color w:val="0A77B3"/>
      <w:sz w:val="24"/>
      <w:szCs w:val="26"/>
    </w:rPr>
  </w:style>
  <w:style w:type="paragraph" w:styleId="Titre3">
    <w:name w:val="heading 3"/>
    <w:basedOn w:val="Normal"/>
    <w:next w:val="Normal"/>
    <w:link w:val="Titre3Car"/>
    <w:uiPriority w:val="9"/>
    <w:qFormat/>
    <w:rsid w:val="005F6967"/>
    <w:pPr>
      <w:keepNext/>
      <w:keepLines/>
      <w:spacing w:before="200" w:after="0"/>
      <w:outlineLvl w:val="2"/>
    </w:pPr>
    <w:rPr>
      <w:b/>
      <w:bCs/>
      <w:color w:val="E22B21"/>
      <w:sz w:val="24"/>
    </w:rPr>
  </w:style>
  <w:style w:type="paragraph" w:styleId="Titre4">
    <w:name w:val="heading 4"/>
    <w:basedOn w:val="Normal"/>
    <w:next w:val="Normal"/>
    <w:link w:val="Titre4Car"/>
    <w:uiPriority w:val="9"/>
    <w:qFormat/>
    <w:rsid w:val="002D4FDD"/>
    <w:pPr>
      <w:keepNext/>
      <w:keepLines/>
      <w:spacing w:before="40" w:after="0" w:line="259" w:lineRule="auto"/>
      <w:outlineLvl w:val="3"/>
    </w:pPr>
    <w:rPr>
      <w:rFonts w:eastAsia="Yu Gothic Light"/>
      <w:iCs/>
      <w:color w:val="2F5496"/>
      <w:kern w:val="2"/>
      <w:sz w:val="24"/>
      <w:lang w:bidi="ar-SA"/>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link w:val="Titre1"/>
    <w:uiPriority w:val="9"/>
    <w:rsid w:val="005F6967"/>
    <w:rPr>
      <w:rFonts w:ascii="Arial" w:eastAsia="Times New Roman" w:hAnsi="Arial" w:cs="Times New Roman"/>
      <w:b/>
      <w:bCs/>
      <w:color w:val="0A77B3"/>
      <w:sz w:val="28"/>
      <w:szCs w:val="28"/>
    </w:rPr>
  </w:style>
  <w:style w:type="character" w:customStyle="1" w:styleId="Titre2Car">
    <w:name w:val="Titre 2 Car"/>
    <w:link w:val="Titre2"/>
    <w:uiPriority w:val="9"/>
    <w:rsid w:val="005F6967"/>
    <w:rPr>
      <w:rFonts w:ascii="Arial" w:eastAsia="Times New Roman" w:hAnsi="Arial" w:cs="Times New Roman"/>
      <w:b/>
      <w:bCs/>
      <w:color w:val="0A77B3"/>
      <w:sz w:val="24"/>
      <w:szCs w:val="26"/>
    </w:rPr>
  </w:style>
  <w:style w:type="character" w:customStyle="1" w:styleId="Titre3Car">
    <w:name w:val="Titre 3 Car"/>
    <w:link w:val="Titre3"/>
    <w:uiPriority w:val="9"/>
    <w:rsid w:val="005F6967"/>
    <w:rPr>
      <w:rFonts w:ascii="Arial" w:eastAsia="Times New Roman" w:hAnsi="Arial" w:cs="Times New Roman"/>
      <w:b/>
      <w:bCs/>
      <w:color w:val="E22B21"/>
      <w:sz w:val="24"/>
    </w:rPr>
  </w:style>
  <w:style w:type="paragraph" w:styleId="Titre">
    <w:name w:val="Title"/>
    <w:basedOn w:val="Normal"/>
    <w:next w:val="Normal"/>
    <w:link w:val="TitreCar"/>
    <w:qFormat/>
    <w:rsid w:val="00023AC7"/>
    <w:pPr>
      <w:spacing w:after="300" w:line="240" w:lineRule="auto"/>
      <w:contextualSpacing/>
      <w:jc w:val="center"/>
    </w:pPr>
    <w:rPr>
      <w:b/>
      <w:color w:val="0070C0"/>
      <w:spacing w:val="5"/>
      <w:kern w:val="28"/>
      <w:sz w:val="28"/>
      <w:szCs w:val="52"/>
    </w:rPr>
  </w:style>
  <w:style w:type="character" w:customStyle="1" w:styleId="TitreCar">
    <w:name w:val="Titre Car"/>
    <w:link w:val="Titre"/>
    <w:rsid w:val="00023AC7"/>
    <w:rPr>
      <w:rFonts w:ascii="Arial" w:eastAsia="Times New Roman" w:hAnsi="Arial"/>
      <w:b/>
      <w:color w:val="0070C0"/>
      <w:spacing w:val="5"/>
      <w:kern w:val="28"/>
      <w:sz w:val="28"/>
      <w:szCs w:val="52"/>
      <w:lang w:val="de-DE" w:eastAsia="en-US" w:bidi="en-US"/>
    </w:rPr>
  </w:style>
  <w:style w:type="paragraph" w:styleId="Sous-titre">
    <w:name w:val="Subtitle"/>
    <w:basedOn w:val="Normal"/>
    <w:next w:val="Normal"/>
    <w:link w:val="Sous-titreCar"/>
    <w:uiPriority w:val="11"/>
    <w:qFormat/>
    <w:rsid w:val="00023AC7"/>
    <w:pPr>
      <w:numPr>
        <w:ilvl w:val="1"/>
      </w:numPr>
      <w:jc w:val="center"/>
    </w:pPr>
    <w:rPr>
      <w:b/>
      <w:iCs/>
      <w:color w:val="4F81BD"/>
      <w:spacing w:val="15"/>
      <w:sz w:val="24"/>
      <w:szCs w:val="24"/>
    </w:rPr>
  </w:style>
  <w:style w:type="character" w:customStyle="1" w:styleId="Sous-titreCar">
    <w:name w:val="Sous-titre Car"/>
    <w:link w:val="Sous-titre"/>
    <w:uiPriority w:val="11"/>
    <w:rsid w:val="00023AC7"/>
    <w:rPr>
      <w:rFonts w:ascii="Arial" w:eastAsia="Times New Roman" w:hAnsi="Arial"/>
      <w:b/>
      <w:iCs/>
      <w:color w:val="4F81BD"/>
      <w:spacing w:val="15"/>
      <w:sz w:val="24"/>
      <w:szCs w:val="24"/>
      <w:lang w:val="de-DE" w:eastAsia="en-US" w:bidi="en-US"/>
    </w:rPr>
  </w:style>
  <w:style w:type="paragraph" w:customStyle="1" w:styleId="Listecouleur-Accent11">
    <w:name w:val="Liste couleur - Accent 11"/>
    <w:basedOn w:val="Normal"/>
    <w:uiPriority w:val="34"/>
    <w:qFormat/>
    <w:rsid w:val="005F6967"/>
    <w:pPr>
      <w:ind w:left="720"/>
      <w:contextualSpacing/>
    </w:pPr>
  </w:style>
  <w:style w:type="paragraph" w:customStyle="1" w:styleId="TableauGrille31">
    <w:name w:val="Tableau Grille 31"/>
    <w:basedOn w:val="Titre1"/>
    <w:next w:val="Normal"/>
    <w:uiPriority w:val="39"/>
    <w:semiHidden/>
    <w:unhideWhenUsed/>
    <w:qFormat/>
    <w:rsid w:val="005F6967"/>
    <w:pPr>
      <w:outlineLvl w:val="9"/>
    </w:pPr>
    <w:rPr>
      <w:rFonts w:ascii="Cambria" w:hAnsi="Cambria"/>
      <w:color w:val="365F91"/>
      <w:lang w:eastAsia="ja-JP"/>
    </w:rPr>
  </w:style>
  <w:style w:type="paragraph" w:styleId="Commentaire">
    <w:name w:val="annotation text"/>
    <w:basedOn w:val="Normal"/>
    <w:link w:val="CommentaireCar"/>
    <w:uiPriority w:val="99"/>
    <w:unhideWhenUsed/>
    <w:rsid w:val="00F86167"/>
    <w:pPr>
      <w:spacing w:after="160" w:line="240" w:lineRule="auto"/>
    </w:pPr>
    <w:rPr>
      <w:rFonts w:ascii="Calibri" w:eastAsia="Calibri" w:hAnsi="Calibri"/>
      <w:sz w:val="20"/>
      <w:szCs w:val="20"/>
      <w:lang w:bidi="ar-SA"/>
    </w:rPr>
  </w:style>
  <w:style w:type="character" w:customStyle="1" w:styleId="CommentaireCar">
    <w:name w:val="Commentaire Car"/>
    <w:link w:val="Commentaire"/>
    <w:uiPriority w:val="99"/>
    <w:rsid w:val="00F86167"/>
    <w:rPr>
      <w:sz w:val="20"/>
      <w:szCs w:val="20"/>
      <w:lang w:val="de-DE"/>
    </w:rPr>
  </w:style>
  <w:style w:type="character" w:styleId="Marquedecommentaire">
    <w:name w:val="annotation reference"/>
    <w:uiPriority w:val="99"/>
    <w:semiHidden/>
    <w:unhideWhenUsed/>
    <w:rsid w:val="00F86167"/>
    <w:rPr>
      <w:sz w:val="16"/>
      <w:szCs w:val="16"/>
    </w:rPr>
  </w:style>
  <w:style w:type="paragraph" w:styleId="Textedebulles">
    <w:name w:val="Balloon Text"/>
    <w:basedOn w:val="Normal"/>
    <w:link w:val="TextedebullesCar"/>
    <w:uiPriority w:val="99"/>
    <w:semiHidden/>
    <w:unhideWhenUsed/>
    <w:rsid w:val="00F86167"/>
    <w:pPr>
      <w:spacing w:after="0" w:line="240" w:lineRule="auto"/>
    </w:pPr>
    <w:rPr>
      <w:rFonts w:ascii="Segoe UI" w:hAnsi="Segoe UI" w:cs="Segoe UI"/>
      <w:sz w:val="18"/>
      <w:szCs w:val="18"/>
    </w:rPr>
  </w:style>
  <w:style w:type="character" w:customStyle="1" w:styleId="TextedebullesCar">
    <w:name w:val="Texte de bulles Car"/>
    <w:link w:val="Textedebulles"/>
    <w:uiPriority w:val="99"/>
    <w:semiHidden/>
    <w:rsid w:val="00F86167"/>
    <w:rPr>
      <w:rFonts w:ascii="Segoe UI" w:eastAsia="Times New Roman" w:hAnsi="Segoe UI" w:cs="Segoe UI"/>
      <w:sz w:val="18"/>
      <w:szCs w:val="18"/>
      <w:lang w:val="de-DE" w:bidi="en-US"/>
    </w:rPr>
  </w:style>
  <w:style w:type="paragraph" w:styleId="En-tte">
    <w:name w:val="header"/>
    <w:basedOn w:val="Normal"/>
    <w:link w:val="En-tteCar"/>
    <w:uiPriority w:val="99"/>
    <w:unhideWhenUsed/>
    <w:rsid w:val="00F86167"/>
    <w:pPr>
      <w:tabs>
        <w:tab w:val="center" w:pos="4513"/>
        <w:tab w:val="right" w:pos="9026"/>
      </w:tabs>
      <w:spacing w:after="0" w:line="240" w:lineRule="auto"/>
    </w:pPr>
  </w:style>
  <w:style w:type="character" w:customStyle="1" w:styleId="En-tteCar">
    <w:name w:val="En-tête Car"/>
    <w:link w:val="En-tte"/>
    <w:uiPriority w:val="99"/>
    <w:rsid w:val="00F86167"/>
    <w:rPr>
      <w:rFonts w:ascii="Cambria" w:eastAsia="Times New Roman" w:hAnsi="Cambria" w:cs="Times New Roman"/>
      <w:lang w:val="de-DE" w:bidi="en-US"/>
    </w:rPr>
  </w:style>
  <w:style w:type="paragraph" w:styleId="Pieddepage">
    <w:name w:val="footer"/>
    <w:basedOn w:val="Normal"/>
    <w:link w:val="PieddepageCar"/>
    <w:uiPriority w:val="99"/>
    <w:unhideWhenUsed/>
    <w:rsid w:val="00F86167"/>
    <w:pPr>
      <w:tabs>
        <w:tab w:val="center" w:pos="4513"/>
        <w:tab w:val="right" w:pos="9026"/>
      </w:tabs>
      <w:spacing w:after="0" w:line="240" w:lineRule="auto"/>
    </w:pPr>
  </w:style>
  <w:style w:type="character" w:customStyle="1" w:styleId="PieddepageCar">
    <w:name w:val="Pied de page Car"/>
    <w:link w:val="Pieddepage"/>
    <w:uiPriority w:val="99"/>
    <w:rsid w:val="00F86167"/>
    <w:rPr>
      <w:rFonts w:ascii="Cambria" w:eastAsia="Times New Roman" w:hAnsi="Cambria" w:cs="Times New Roman"/>
      <w:lang w:val="de-DE" w:bidi="en-US"/>
    </w:rPr>
  </w:style>
  <w:style w:type="paragraph" w:styleId="Objetducommentaire">
    <w:name w:val="annotation subject"/>
    <w:basedOn w:val="Commentaire"/>
    <w:next w:val="Commentaire"/>
    <w:link w:val="ObjetducommentaireCar"/>
    <w:uiPriority w:val="99"/>
    <w:semiHidden/>
    <w:unhideWhenUsed/>
    <w:rsid w:val="00AB1F06"/>
    <w:pPr>
      <w:spacing w:after="200"/>
    </w:pPr>
    <w:rPr>
      <w:rFonts w:ascii="Cambria" w:eastAsia="Times New Roman" w:hAnsi="Cambria"/>
      <w:b/>
      <w:bCs/>
      <w:lang w:bidi="en-US"/>
    </w:rPr>
  </w:style>
  <w:style w:type="character" w:customStyle="1" w:styleId="ObjetducommentaireCar">
    <w:name w:val="Objet du commentaire Car"/>
    <w:link w:val="Objetducommentaire"/>
    <w:uiPriority w:val="99"/>
    <w:semiHidden/>
    <w:rsid w:val="00AB1F06"/>
    <w:rPr>
      <w:rFonts w:ascii="Cambria" w:eastAsia="Times New Roman" w:hAnsi="Cambria" w:cs="Times New Roman"/>
      <w:b/>
      <w:bCs/>
      <w:sz w:val="20"/>
      <w:szCs w:val="20"/>
      <w:lang w:val="de-DE" w:bidi="en-US"/>
    </w:rPr>
  </w:style>
  <w:style w:type="character" w:styleId="lev">
    <w:name w:val="Strong"/>
    <w:uiPriority w:val="22"/>
    <w:qFormat/>
    <w:rsid w:val="009B25D4"/>
    <w:rPr>
      <w:b/>
      <w:bCs/>
    </w:rPr>
  </w:style>
  <w:style w:type="paragraph" w:styleId="Citationintense">
    <w:name w:val="Intense Quote"/>
    <w:basedOn w:val="Normal"/>
    <w:next w:val="Normal"/>
    <w:link w:val="CitationintenseCar"/>
    <w:uiPriority w:val="30"/>
    <w:qFormat/>
    <w:rsid w:val="006D6A16"/>
    <w:pPr>
      <w:pBdr>
        <w:top w:val="single" w:sz="4" w:space="10" w:color="auto"/>
        <w:bottom w:val="single" w:sz="4" w:space="10" w:color="auto"/>
      </w:pBdr>
      <w:spacing w:before="240" w:after="240" w:line="300" w:lineRule="auto"/>
      <w:ind w:left="1152" w:right="1152"/>
      <w:jc w:val="both"/>
    </w:pPr>
    <w:rPr>
      <w:i/>
      <w:iCs/>
    </w:rPr>
  </w:style>
  <w:style w:type="character" w:customStyle="1" w:styleId="CitationintenseCar">
    <w:name w:val="Citation intense Car"/>
    <w:link w:val="Citationintense"/>
    <w:uiPriority w:val="30"/>
    <w:rsid w:val="006D6A16"/>
    <w:rPr>
      <w:rFonts w:ascii="Cambria" w:eastAsia="Times New Roman" w:hAnsi="Cambria"/>
      <w:i/>
      <w:iCs/>
      <w:sz w:val="22"/>
      <w:szCs w:val="22"/>
      <w:lang w:val="de-DE" w:eastAsia="en-US" w:bidi="en-US"/>
    </w:rPr>
  </w:style>
  <w:style w:type="character" w:styleId="Titredulivre">
    <w:name w:val="Book Title"/>
    <w:uiPriority w:val="33"/>
    <w:qFormat/>
    <w:rsid w:val="006D6A16"/>
    <w:rPr>
      <w:b/>
      <w:bCs/>
      <w:smallCaps/>
      <w:spacing w:val="5"/>
    </w:rPr>
  </w:style>
  <w:style w:type="character" w:styleId="Lienhypertexte">
    <w:name w:val="Hyperlink"/>
    <w:uiPriority w:val="99"/>
    <w:unhideWhenUsed/>
    <w:rsid w:val="006D6A16"/>
    <w:rPr>
      <w:color w:val="0000FF"/>
      <w:u w:val="single"/>
    </w:rPr>
  </w:style>
  <w:style w:type="paragraph" w:customStyle="1" w:styleId="MediumGrid21">
    <w:name w:val="Medium Grid 21"/>
    <w:rsid w:val="00C36B74"/>
    <w:rPr>
      <w:rFonts w:ascii="Trebuchet MS" w:eastAsia="MS Mincho" w:hAnsi="Trebuchet MS"/>
      <w:sz w:val="18"/>
      <w:szCs w:val="18"/>
    </w:rPr>
  </w:style>
  <w:style w:type="paragraph" w:styleId="NormalWeb">
    <w:name w:val="Normal (Web)"/>
    <w:basedOn w:val="Normal"/>
    <w:uiPriority w:val="99"/>
    <w:semiHidden/>
    <w:unhideWhenUsed/>
    <w:rsid w:val="006504AD"/>
    <w:pPr>
      <w:spacing w:before="100" w:beforeAutospacing="1" w:after="100" w:afterAutospacing="1" w:line="240" w:lineRule="auto"/>
    </w:pPr>
    <w:rPr>
      <w:rFonts w:ascii="Times New Roman" w:hAnsi="Times New Roman"/>
      <w:sz w:val="24"/>
      <w:szCs w:val="24"/>
      <w:lang w:eastAsia="en-GB" w:bidi="ar-SA"/>
    </w:rPr>
  </w:style>
  <w:style w:type="paragraph" w:styleId="Paragraphedeliste">
    <w:name w:val="List Paragraph"/>
    <w:basedOn w:val="Normal"/>
    <w:uiPriority w:val="34"/>
    <w:qFormat/>
    <w:rsid w:val="006504AD"/>
    <w:pPr>
      <w:spacing w:after="160" w:line="259" w:lineRule="auto"/>
      <w:ind w:left="720"/>
      <w:contextualSpacing/>
    </w:pPr>
    <w:rPr>
      <w:rFonts w:ascii="Calibri" w:eastAsia="Calibri" w:hAnsi="Calibri"/>
      <w:lang w:bidi="ar-SA"/>
    </w:rPr>
  </w:style>
  <w:style w:type="numbering" w:customStyle="1" w:styleId="NoList1">
    <w:name w:val="No List1"/>
    <w:next w:val="Aucuneliste"/>
    <w:uiPriority w:val="99"/>
    <w:semiHidden/>
    <w:unhideWhenUsed/>
    <w:rsid w:val="007D4987"/>
  </w:style>
  <w:style w:type="paragraph" w:styleId="En-ttedetabledesmatires">
    <w:name w:val="TOC Heading"/>
    <w:basedOn w:val="Titre1"/>
    <w:next w:val="Normal"/>
    <w:uiPriority w:val="39"/>
    <w:qFormat/>
    <w:rsid w:val="007D4987"/>
    <w:pPr>
      <w:keepLines w:val="0"/>
      <w:spacing w:before="240" w:after="60"/>
      <w:outlineLvl w:val="9"/>
    </w:pPr>
    <w:rPr>
      <w:rFonts w:ascii="Calibri Light" w:hAnsi="Calibri Light"/>
      <w:color w:val="auto"/>
      <w:kern w:val="32"/>
      <w:sz w:val="32"/>
      <w:szCs w:val="32"/>
    </w:rPr>
  </w:style>
  <w:style w:type="paragraph" w:styleId="TM1">
    <w:name w:val="toc 1"/>
    <w:basedOn w:val="Normal"/>
    <w:next w:val="Normal"/>
    <w:autoRedefine/>
    <w:uiPriority w:val="39"/>
    <w:unhideWhenUsed/>
    <w:rsid w:val="007D4987"/>
    <w:rPr>
      <w:sz w:val="24"/>
    </w:rPr>
  </w:style>
  <w:style w:type="paragraph" w:styleId="TM2">
    <w:name w:val="toc 2"/>
    <w:basedOn w:val="Normal"/>
    <w:next w:val="Normal"/>
    <w:autoRedefine/>
    <w:uiPriority w:val="39"/>
    <w:unhideWhenUsed/>
    <w:rsid w:val="007D4987"/>
    <w:pPr>
      <w:ind w:left="220"/>
    </w:pPr>
    <w:rPr>
      <w:sz w:val="24"/>
    </w:rPr>
  </w:style>
  <w:style w:type="paragraph" w:styleId="TM3">
    <w:name w:val="toc 3"/>
    <w:basedOn w:val="Normal"/>
    <w:next w:val="Normal"/>
    <w:autoRedefine/>
    <w:uiPriority w:val="39"/>
    <w:unhideWhenUsed/>
    <w:rsid w:val="007D4987"/>
    <w:pPr>
      <w:ind w:left="440"/>
    </w:pPr>
    <w:rPr>
      <w:sz w:val="24"/>
    </w:rPr>
  </w:style>
  <w:style w:type="paragraph" w:styleId="Rvision">
    <w:name w:val="Revision"/>
    <w:hidden/>
    <w:uiPriority w:val="99"/>
    <w:semiHidden/>
    <w:rsid w:val="007D4987"/>
    <w:rPr>
      <w:rFonts w:ascii="Arial" w:eastAsia="Times New Roman" w:hAnsi="Arial"/>
      <w:sz w:val="24"/>
      <w:szCs w:val="22"/>
      <w:lang w:bidi="en-US"/>
    </w:rPr>
  </w:style>
  <w:style w:type="character" w:styleId="Mention">
    <w:name w:val="Mention"/>
    <w:uiPriority w:val="99"/>
    <w:semiHidden/>
    <w:unhideWhenUsed/>
    <w:rsid w:val="007D4987"/>
    <w:rPr>
      <w:color w:val="2B579A"/>
      <w:shd w:val="clear" w:color="auto" w:fill="E6E6E6"/>
    </w:rPr>
  </w:style>
  <w:style w:type="character" w:styleId="Lienhypertextesuivivisit">
    <w:name w:val="FollowedHyperlink"/>
    <w:uiPriority w:val="99"/>
    <w:semiHidden/>
    <w:unhideWhenUsed/>
    <w:rsid w:val="007D4987"/>
    <w:rPr>
      <w:color w:val="954F72"/>
      <w:u w:val="single"/>
    </w:rPr>
  </w:style>
  <w:style w:type="character" w:styleId="Mentionnonrsolue">
    <w:name w:val="Unresolved Mention"/>
    <w:uiPriority w:val="99"/>
    <w:semiHidden/>
    <w:unhideWhenUsed/>
    <w:rsid w:val="000F281C"/>
    <w:rPr>
      <w:color w:val="605E5C"/>
      <w:shd w:val="clear" w:color="auto" w:fill="E1DFDD"/>
    </w:rPr>
  </w:style>
  <w:style w:type="character" w:customStyle="1" w:styleId="Titre4Car">
    <w:name w:val="Titre 4 Car"/>
    <w:link w:val="Titre4"/>
    <w:uiPriority w:val="9"/>
    <w:rsid w:val="002D4FDD"/>
    <w:rPr>
      <w:rFonts w:ascii="Arial" w:eastAsia="Yu Gothic Light" w:hAnsi="Arial"/>
      <w:iCs/>
      <w:color w:val="2F5496"/>
      <w:kern w:val="2"/>
      <w:sz w:val="24"/>
      <w:szCs w:val="22"/>
      <w:lang w:val="de-DE" w:eastAsia="en-US"/>
    </w:rPr>
  </w:style>
  <w:style w:type="paragraph" w:customStyle="1" w:styleId="SingleTxtG">
    <w:name w:val="_ Single Txt_G"/>
    <w:basedOn w:val="Normal"/>
    <w:link w:val="SingleTxtGChar"/>
    <w:rsid w:val="002D4FDD"/>
    <w:pPr>
      <w:suppressAutoHyphens/>
      <w:spacing w:after="120" w:line="240" w:lineRule="atLeast"/>
      <w:ind w:left="1134" w:right="1134"/>
      <w:jc w:val="both"/>
    </w:pPr>
    <w:rPr>
      <w:rFonts w:ascii="Times New Roman" w:eastAsia="SimSun" w:hAnsi="Times New Roman"/>
      <w:sz w:val="20"/>
      <w:szCs w:val="20"/>
      <w:lang w:eastAsia="zh-CN" w:bidi="ar-SA"/>
    </w:rPr>
  </w:style>
  <w:style w:type="character" w:customStyle="1" w:styleId="SingleTxtGChar">
    <w:name w:val="_ Single Txt_G Char"/>
    <w:link w:val="SingleTxtG"/>
    <w:rsid w:val="002D4FDD"/>
    <w:rPr>
      <w:rFonts w:ascii="Times New Roman" w:eastAsia="SimSun" w:hAnsi="Times New Roman"/>
      <w:lang w:val="de-DE" w:eastAsia="zh-CN"/>
    </w:rPr>
  </w:style>
  <w:style w:type="paragraph" w:styleId="Notedebasdepage">
    <w:name w:val="footnote text"/>
    <w:basedOn w:val="Normal"/>
    <w:link w:val="NotedebasdepageCar"/>
    <w:uiPriority w:val="99"/>
    <w:semiHidden/>
    <w:unhideWhenUsed/>
    <w:rsid w:val="002D4FDD"/>
    <w:pPr>
      <w:spacing w:after="0" w:line="240" w:lineRule="auto"/>
    </w:pPr>
    <w:rPr>
      <w:rFonts w:ascii="Calibri" w:eastAsia="Calibri" w:hAnsi="Calibri" w:cs="Arial"/>
      <w:sz w:val="20"/>
      <w:szCs w:val="20"/>
      <w:lang w:bidi="ar-SA"/>
    </w:rPr>
  </w:style>
  <w:style w:type="character" w:customStyle="1" w:styleId="NotedebasdepageCar">
    <w:name w:val="Note de bas de page Car"/>
    <w:link w:val="Notedebasdepage"/>
    <w:uiPriority w:val="99"/>
    <w:semiHidden/>
    <w:rsid w:val="002D4FDD"/>
    <w:rPr>
      <w:rFonts w:cs="Arial"/>
      <w:lang w:val="de-DE" w:eastAsia="en-US"/>
    </w:rPr>
  </w:style>
  <w:style w:type="character" w:styleId="Appelnotedebasdep">
    <w:name w:val="footnote reference"/>
    <w:uiPriority w:val="99"/>
    <w:semiHidden/>
    <w:unhideWhenUsed/>
    <w:rsid w:val="002D4FDD"/>
    <w:rPr>
      <w:vertAlign w:val="superscript"/>
    </w:rPr>
  </w:style>
  <w:style w:type="table" w:styleId="Grilledutableau">
    <w:name w:val="Table Grid"/>
    <w:basedOn w:val="TableauNormal"/>
    <w:uiPriority w:val="59"/>
    <w:rsid w:val="002D4FDD"/>
    <w:rPr>
      <w:rFonts w:cs="Arial"/>
      <w:kern w:val="2"/>
      <w:sz w:val="22"/>
      <w:szCs w:val="22"/>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cf01">
    <w:name w:val="cf01"/>
    <w:rsid w:val="002D4FDD"/>
    <w:rPr>
      <w:rFonts w:ascii="Segoe UI" w:hAnsi="Segoe UI" w:cs="Segoe UI" w:hint="default"/>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348525415">
      <w:bodyDiv w:val="1"/>
      <w:marLeft w:val="0"/>
      <w:marRight w:val="0"/>
      <w:marTop w:val="0"/>
      <w:marBottom w:val="0"/>
      <w:divBdr>
        <w:top w:val="none" w:sz="0" w:space="0" w:color="auto"/>
        <w:left w:val="none" w:sz="0" w:space="0" w:color="auto"/>
        <w:bottom w:val="none" w:sz="0" w:space="0" w:color="auto"/>
        <w:right w:val="none" w:sz="0" w:space="0" w:color="auto"/>
      </w:divBdr>
    </w:div>
    <w:div w:id="434786567">
      <w:bodyDiv w:val="1"/>
      <w:marLeft w:val="0"/>
      <w:marRight w:val="0"/>
      <w:marTop w:val="0"/>
      <w:marBottom w:val="0"/>
      <w:divBdr>
        <w:top w:val="none" w:sz="0" w:space="0" w:color="auto"/>
        <w:left w:val="none" w:sz="0" w:space="0" w:color="auto"/>
        <w:bottom w:val="none" w:sz="0" w:space="0" w:color="auto"/>
        <w:right w:val="none" w:sz="0" w:space="0" w:color="auto"/>
      </w:divBdr>
    </w:div>
    <w:div w:id="487595910">
      <w:bodyDiv w:val="1"/>
      <w:marLeft w:val="0"/>
      <w:marRight w:val="0"/>
      <w:marTop w:val="0"/>
      <w:marBottom w:val="0"/>
      <w:divBdr>
        <w:top w:val="none" w:sz="0" w:space="0" w:color="auto"/>
        <w:left w:val="none" w:sz="0" w:space="0" w:color="auto"/>
        <w:bottom w:val="none" w:sz="0" w:space="0" w:color="auto"/>
        <w:right w:val="none" w:sz="0" w:space="0" w:color="auto"/>
      </w:divBdr>
    </w:div>
    <w:div w:id="487745226">
      <w:bodyDiv w:val="1"/>
      <w:marLeft w:val="0"/>
      <w:marRight w:val="0"/>
      <w:marTop w:val="0"/>
      <w:marBottom w:val="0"/>
      <w:divBdr>
        <w:top w:val="none" w:sz="0" w:space="0" w:color="auto"/>
        <w:left w:val="none" w:sz="0" w:space="0" w:color="auto"/>
        <w:bottom w:val="none" w:sz="0" w:space="0" w:color="auto"/>
        <w:right w:val="none" w:sz="0" w:space="0" w:color="auto"/>
      </w:divBdr>
    </w:div>
    <w:div w:id="692462225">
      <w:bodyDiv w:val="1"/>
      <w:marLeft w:val="0"/>
      <w:marRight w:val="0"/>
      <w:marTop w:val="0"/>
      <w:marBottom w:val="0"/>
      <w:divBdr>
        <w:top w:val="none" w:sz="0" w:space="0" w:color="auto"/>
        <w:left w:val="none" w:sz="0" w:space="0" w:color="auto"/>
        <w:bottom w:val="none" w:sz="0" w:space="0" w:color="auto"/>
        <w:right w:val="none" w:sz="0" w:space="0" w:color="auto"/>
      </w:divBdr>
    </w:div>
    <w:div w:id="888608295">
      <w:bodyDiv w:val="1"/>
      <w:marLeft w:val="0"/>
      <w:marRight w:val="0"/>
      <w:marTop w:val="0"/>
      <w:marBottom w:val="0"/>
      <w:divBdr>
        <w:top w:val="none" w:sz="0" w:space="0" w:color="auto"/>
        <w:left w:val="none" w:sz="0" w:space="0" w:color="auto"/>
        <w:bottom w:val="none" w:sz="0" w:space="0" w:color="auto"/>
        <w:right w:val="none" w:sz="0" w:space="0" w:color="auto"/>
      </w:divBdr>
    </w:div>
    <w:div w:id="980381839">
      <w:bodyDiv w:val="1"/>
      <w:marLeft w:val="0"/>
      <w:marRight w:val="0"/>
      <w:marTop w:val="0"/>
      <w:marBottom w:val="0"/>
      <w:divBdr>
        <w:top w:val="none" w:sz="0" w:space="0" w:color="auto"/>
        <w:left w:val="none" w:sz="0" w:space="0" w:color="auto"/>
        <w:bottom w:val="none" w:sz="0" w:space="0" w:color="auto"/>
        <w:right w:val="none" w:sz="0" w:space="0" w:color="auto"/>
      </w:divBdr>
    </w:div>
    <w:div w:id="1010110469">
      <w:bodyDiv w:val="1"/>
      <w:marLeft w:val="0"/>
      <w:marRight w:val="0"/>
      <w:marTop w:val="0"/>
      <w:marBottom w:val="0"/>
      <w:divBdr>
        <w:top w:val="none" w:sz="0" w:space="0" w:color="auto"/>
        <w:left w:val="none" w:sz="0" w:space="0" w:color="auto"/>
        <w:bottom w:val="none" w:sz="0" w:space="0" w:color="auto"/>
        <w:right w:val="none" w:sz="0" w:space="0" w:color="auto"/>
      </w:divBdr>
    </w:div>
    <w:div w:id="1277059857">
      <w:bodyDiv w:val="1"/>
      <w:marLeft w:val="0"/>
      <w:marRight w:val="0"/>
      <w:marTop w:val="0"/>
      <w:marBottom w:val="0"/>
      <w:divBdr>
        <w:top w:val="none" w:sz="0" w:space="0" w:color="auto"/>
        <w:left w:val="none" w:sz="0" w:space="0" w:color="auto"/>
        <w:bottom w:val="none" w:sz="0" w:space="0" w:color="auto"/>
        <w:right w:val="none" w:sz="0" w:space="0" w:color="auto"/>
      </w:divBdr>
    </w:div>
    <w:div w:id="1660813410">
      <w:bodyDiv w:val="1"/>
      <w:marLeft w:val="0"/>
      <w:marRight w:val="0"/>
      <w:marTop w:val="0"/>
      <w:marBottom w:val="0"/>
      <w:divBdr>
        <w:top w:val="none" w:sz="0" w:space="0" w:color="auto"/>
        <w:left w:val="none" w:sz="0" w:space="0" w:color="auto"/>
        <w:bottom w:val="none" w:sz="0" w:space="0" w:color="auto"/>
        <w:right w:val="none" w:sz="0" w:space="0" w:color="auto"/>
      </w:divBdr>
    </w:div>
    <w:div w:id="1799444964">
      <w:bodyDiv w:val="1"/>
      <w:marLeft w:val="0"/>
      <w:marRight w:val="0"/>
      <w:marTop w:val="0"/>
      <w:marBottom w:val="0"/>
      <w:divBdr>
        <w:top w:val="none" w:sz="0" w:space="0" w:color="auto"/>
        <w:left w:val="none" w:sz="0" w:space="0" w:color="auto"/>
        <w:bottom w:val="none" w:sz="0" w:space="0" w:color="auto"/>
        <w:right w:val="none" w:sz="0" w:space="0" w:color="auto"/>
      </w:divBdr>
    </w:div>
    <w:div w:id="2060475640">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un.org/development/desa/disabilities/convention-on-the-rights-of-persons-with-disabilities/article-19-living-independently-and-being-included-in-the-community.html" TargetMode="External"/><Relationship Id="rId18" Type="http://schemas.openxmlformats.org/officeDocument/2006/relationships/hyperlink" Target="https://www.edf-feph.org/content/uploads/2023/02/UNSR-Report-on-visit-to-Europe.pdf" TargetMode="External"/><Relationship Id="rId26" Type="http://schemas.openxmlformats.org/officeDocument/2006/relationships/hyperlink" Target="https://adata.org/sites/adata.org/files/files/PARC%20NH%20percent%20FactSheet.pdf" TargetMode="External"/><Relationship Id="rId39" Type="http://schemas.openxmlformats.org/officeDocument/2006/relationships/hyperlink" Target="https://commission.europa.eu/strategy-and-policy/eu-budget/long-term-eu-budget/2021-2027_en?prefLang=de" TargetMode="External"/><Relationship Id="rId21" Type="http://schemas.openxmlformats.org/officeDocument/2006/relationships/hyperlink" Target="https://www.inclusion-europe.eu/" TargetMode="External"/><Relationship Id="rId34" Type="http://schemas.openxmlformats.org/officeDocument/2006/relationships/hyperlink" Target="https://ec.europa.eu/social/home.jsp?langId=de" TargetMode="External"/><Relationship Id="rId42" Type="http://schemas.openxmlformats.org/officeDocument/2006/relationships/hyperlink" Target="https://neighbourhood-enlargement.ec.europa.eu/funding-and-technical-assistance/neighbourhood-development-and-international-cooperation-instrument-global-europe-ndici-global-europe_en?prefLang=de" TargetMode="External"/><Relationship Id="rId47" Type="http://schemas.openxmlformats.org/officeDocument/2006/relationships/hyperlink" Target="https://www.ohchr.org/en/documents/general-comments-and-recommendations/general-comment-no5-article-19-right-live" TargetMode="External"/><Relationship Id="rId50" Type="http://schemas.openxmlformats.org/officeDocument/2006/relationships/hyperlink" Target="https://deinstitutionalisationdotcom.files.wordpress.com/2022/12/eu-guidance-on-independent-living-and-inclusion-in-the-community-2-1.pdf" TargetMode="External"/><Relationship Id="rId55" Type="http://schemas.openxmlformats.org/officeDocument/2006/relationships/hyperlink" Target="http://www.edf-feph.org" TargetMode="External"/><Relationship Id="rId63" Type="http://schemas.openxmlformats.org/officeDocument/2006/relationships/fontTable" Target="fontTable.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s://eur-lex.europa.eu/legal-content/DE/TXT/?uri=CELEX%3A32021R1060" TargetMode="External"/><Relationship Id="rId29" Type="http://schemas.openxmlformats.org/officeDocument/2006/relationships/hyperlink" Target="https://www.edf-feph.org/publications/human-rights-report-2023-the-right-to-work/" TargetMode="External"/><Relationship Id="rId11" Type="http://schemas.openxmlformats.org/officeDocument/2006/relationships/hyperlink" Target="https://ec.europa.eu/social/main.jsp?catId=1484&amp;langId=en" TargetMode="External"/><Relationship Id="rId24" Type="http://schemas.openxmlformats.org/officeDocument/2006/relationships/hyperlink" Target="https://www.edf-feph.org/newsroom-news-residential-institutions-are-becoming-hotbeds-infection-and-abuse-governments-need-act/" TargetMode="External"/><Relationship Id="rId32" Type="http://schemas.openxmlformats.org/officeDocument/2006/relationships/hyperlink" Target="https://ec.europa.eu/regional_policy/policy/what/investment-policy_en" TargetMode="External"/><Relationship Id="rId37" Type="http://schemas.openxmlformats.org/officeDocument/2006/relationships/hyperlink" Target="https://european-social-fund-plus.ec.europa.eu/de" TargetMode="External"/><Relationship Id="rId40" Type="http://schemas.openxmlformats.org/officeDocument/2006/relationships/hyperlink" Target="https://commission.europa.eu/funding-tenders/find-funding/eu-funding-programmes/technical-support-instrument_en?prefLang=de" TargetMode="External"/><Relationship Id="rId45" Type="http://schemas.openxmlformats.org/officeDocument/2006/relationships/hyperlink" Target="https://ec.europa.eu/assets/sg/report-a-breach/complaints_de/index.html" TargetMode="External"/><Relationship Id="rId53" Type="http://schemas.openxmlformats.org/officeDocument/2006/relationships/hyperlink" Target="mailto:haydn.hammersley@edf-feph.org" TargetMode="External"/><Relationship Id="rId58" Type="http://schemas.openxmlformats.org/officeDocument/2006/relationships/header" Target="header2.xml"/><Relationship Id="rId5" Type="http://schemas.openxmlformats.org/officeDocument/2006/relationships/webSettings" Target="webSettings.xml"/><Relationship Id="rId61" Type="http://schemas.openxmlformats.org/officeDocument/2006/relationships/header" Target="header3.xml"/><Relationship Id="rId19" Type="http://schemas.openxmlformats.org/officeDocument/2006/relationships/hyperlink" Target="https://commission.europa.eu/strategy-and-policy/eu-budget/long-term-eu-budget/2021-2027_en" TargetMode="External"/><Relationship Id="rId14" Type="http://schemas.openxmlformats.org/officeDocument/2006/relationships/hyperlink" Target="https://www.ohchr.org/en/documents/general-comments-and-recommendations/general-comment-no5-article-19-right-live" TargetMode="External"/><Relationship Id="rId22" Type="http://schemas.openxmlformats.org/officeDocument/2006/relationships/hyperlink" Target="https://www.inclusion-europe.eu/deaths-and-abuse-of-people-with-severe-intellectual-disabilities-and-autism-in-czechia-respekt-magazine-investigation/" TargetMode="External"/><Relationship Id="rId27" Type="http://schemas.openxmlformats.org/officeDocument/2006/relationships/hyperlink" Target="https://www.uloba.no/" TargetMode="External"/><Relationship Id="rId30" Type="http://schemas.openxmlformats.org/officeDocument/2006/relationships/hyperlink" Target="https://commission.europa.eu/funding-tenders/find-funding/eu-funding-programmes/technical-support-instrument/technical-support-instrument-tsi_de" TargetMode="External"/><Relationship Id="rId35" Type="http://schemas.openxmlformats.org/officeDocument/2006/relationships/hyperlink" Target="https://fra.europa.eu/de" TargetMode="External"/><Relationship Id="rId43" Type="http://schemas.openxmlformats.org/officeDocument/2006/relationships/hyperlink" Target="https://commission.europa.eu/funding-tenders/find-funding/funding-management-mode/common-provisions-regulation_de" TargetMode="External"/><Relationship Id="rId48" Type="http://schemas.openxmlformats.org/officeDocument/2006/relationships/hyperlink" Target="https://www.ohchr.org/en/documents/legal-standards-and-guidelines/crpdc5-guidelines-deinstitutionalization-including" TargetMode="External"/><Relationship Id="rId56" Type="http://schemas.openxmlformats.org/officeDocument/2006/relationships/hyperlink" Target="mailto:info@edf-feph.org" TargetMode="External"/><Relationship Id="rId64" Type="http://schemas.openxmlformats.org/officeDocument/2006/relationships/theme" Target="theme/theme1.xml"/><Relationship Id="rId8" Type="http://schemas.openxmlformats.org/officeDocument/2006/relationships/hyperlink" Target="https://social.desa.un.org/issues/disability/crpd/convention-on-the-rights-of-persons-with-disabilities-crpd" TargetMode="External"/><Relationship Id="rId51" Type="http://schemas.openxmlformats.org/officeDocument/2006/relationships/hyperlink" Target="https://deinstitutionalisationdotcom.files.wordpress.com/2021/07/updated-checklist-new-eeg-logo.pdf" TargetMode="External"/><Relationship Id="rId3" Type="http://schemas.openxmlformats.org/officeDocument/2006/relationships/styles" Target="styles.xml"/><Relationship Id="rId12" Type="http://schemas.openxmlformats.org/officeDocument/2006/relationships/hyperlink" Target="https://www.ohchr.org/en/human-rights/universal-declaration/translations/german-deutsch" TargetMode="External"/><Relationship Id="rId17" Type="http://schemas.openxmlformats.org/officeDocument/2006/relationships/hyperlink" Target="https://deinstitutionalisationdotcom.files.wordpress.com/2020/05/eeg-di-report-2020-1.pdf" TargetMode="External"/><Relationship Id="rId25" Type="http://schemas.openxmlformats.org/officeDocument/2006/relationships/hyperlink" Target="https://ec.europa.eu/eurostat" TargetMode="External"/><Relationship Id="rId33" Type="http://schemas.openxmlformats.org/officeDocument/2006/relationships/hyperlink" Target="https://ec.europa.eu/eurostat/web/main/home" TargetMode="External"/><Relationship Id="rId38" Type="http://schemas.openxmlformats.org/officeDocument/2006/relationships/hyperlink" Target="https://ec.europa.eu/regional_policy/funding/erdf_en" TargetMode="External"/><Relationship Id="rId46" Type="http://schemas.openxmlformats.org/officeDocument/2006/relationships/hyperlink" Target="https://www.un.org/development/desa/disabilities/convention-on-the-rights-of-persons-with-disabilities/article-19-living-independently-and-being-included-in-the-community.html" TargetMode="External"/><Relationship Id="rId59" Type="http://schemas.openxmlformats.org/officeDocument/2006/relationships/footer" Target="footer1.xml"/><Relationship Id="rId20" Type="http://schemas.openxmlformats.org/officeDocument/2006/relationships/hyperlink" Target="https://www.edf-feph.org/newsroom-news-close-institutions-now-our-reactions-abuses-whorton-hall-specialist-hospital/" TargetMode="External"/><Relationship Id="rId41" Type="http://schemas.openxmlformats.org/officeDocument/2006/relationships/hyperlink" Target="https://neighbourhood-enlargement.ec.europa.eu/enlargement-policy/overview-instrument-pre-accession-assistance_en?prefLang=de" TargetMode="External"/><Relationship Id="rId54" Type="http://schemas.openxmlformats.org/officeDocument/2006/relationships/image" Target="media/image1.png"/><Relationship Id="rId62"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s://www.ohchr.org/en/documents/legal-standards-and-guidelines/crpdc5-guidelines-deinstitutionalization-including" TargetMode="External"/><Relationship Id="rId23" Type="http://schemas.openxmlformats.org/officeDocument/2006/relationships/hyperlink" Target="https://www.euractiv.com/section/politics/news/romania-horrified-by-inhumane-abuse-in-care-centres-for-disabled/" TargetMode="External"/><Relationship Id="rId28" Type="http://schemas.openxmlformats.org/officeDocument/2006/relationships/hyperlink" Target="https://social.desa.un.org/issues/disability/crpd/article-19-living-independently-and-being-included-in-the-community" TargetMode="External"/><Relationship Id="rId36" Type="http://schemas.openxmlformats.org/officeDocument/2006/relationships/hyperlink" Target="https://commission.europa.eu/funding-tenders/find-funding/eu-funding-programmes/technical-support-instrument/technical-support-instrument-tsi_de" TargetMode="External"/><Relationship Id="rId49" Type="http://schemas.openxmlformats.org/officeDocument/2006/relationships/hyperlink" Target="https://www.ohchr.org/en/documents/thematic-reports/ahrc5232-transformation-services-persons-disabilities" TargetMode="External"/><Relationship Id="rId57" Type="http://schemas.openxmlformats.org/officeDocument/2006/relationships/header" Target="header1.xml"/><Relationship Id="rId10" Type="http://schemas.openxmlformats.org/officeDocument/2006/relationships/hyperlink" Target="https://ec.europa.eu/social/main.jsp?catId=1226&amp;langId=en" TargetMode="External"/><Relationship Id="rId31" Type="http://schemas.openxmlformats.org/officeDocument/2006/relationships/hyperlink" Target="https://eur-lex.europa.eu/legal-content/DE/TXT/?uri=CELEX%3A32021R1060" TargetMode="External"/><Relationship Id="rId44" Type="http://schemas.openxmlformats.org/officeDocument/2006/relationships/hyperlink" Target="https://commission.europa.eu/business-economy-euro/economic-and-fiscal-policy-coordination/european-semester_de" TargetMode="External"/><Relationship Id="rId52" Type="http://schemas.openxmlformats.org/officeDocument/2006/relationships/hyperlink" Target="https://deinstitutionalisationdotcom.files.wordpress.com/2020/05/eeg-di-report-2020-1.pdf" TargetMode="External"/><Relationship Id="rId6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hyperlink" Target="https://www.edf-feph.org/our-members/" TargetMode="External"/></Relationships>
</file>

<file path=word/_rels/footer2.xml.rels><?xml version="1.0" encoding="UTF-8" standalone="yes"?>
<Relationships xmlns="http://schemas.openxmlformats.org/package/2006/relationships"><Relationship Id="rId1" Type="http://schemas.openxmlformats.org/officeDocument/2006/relationships/image" Target="media/image6.jpeg"/></Relationships>
</file>

<file path=word/_rels/footnotes.xml.rels><?xml version="1.0" encoding="UTF-8" standalone="yes"?>
<Relationships xmlns="http://schemas.openxmlformats.org/package/2006/relationships"><Relationship Id="rId8" Type="http://schemas.openxmlformats.org/officeDocument/2006/relationships/hyperlink" Target="https://bettercarenetwork.org/library/particular-threats-to-childrens-care-and-protection/effects-of-institutional-care" TargetMode="External"/><Relationship Id="rId13" Type="http://schemas.openxmlformats.org/officeDocument/2006/relationships/hyperlink" Target="http://www.inclusion-europe.eu/empowerment-of-people-with-complex-support-needs-report/" TargetMode="External"/><Relationship Id="rId3" Type="http://schemas.openxmlformats.org/officeDocument/2006/relationships/hyperlink" Target="https://www.ohchr.org/en/documents/general-comments-and-recommendations/general-comment-no5-article-19-right-live" TargetMode="External"/><Relationship Id="rId7" Type="http://schemas.openxmlformats.org/officeDocument/2006/relationships/hyperlink" Target="https://www.inclusion-europe.eu/violence-against-women-with-intellectual-disabilities/" TargetMode="External"/><Relationship Id="rId12" Type="http://schemas.openxmlformats.org/officeDocument/2006/relationships/hyperlink" Target="https://www.oecd.org/publications/a-crisis-on-the-horizon-306e6993-en.htm" TargetMode="External"/><Relationship Id="rId2" Type="http://schemas.openxmlformats.org/officeDocument/2006/relationships/hyperlink" Target="https://www.health-ni.gov.uk/publications/hsc-service-users-supported-housing-accommodation" TargetMode="External"/><Relationship Id="rId16" Type="http://schemas.openxmlformats.org/officeDocument/2006/relationships/hyperlink" Target="https://ec.europa.eu/social/BlobServlet?docId=24081&amp;langId=en" TargetMode="External"/><Relationship Id="rId1" Type="http://schemas.openxmlformats.org/officeDocument/2006/relationships/hyperlink" Target="http://www.inclusion.eu/indicators" TargetMode="External"/><Relationship Id="rId6" Type="http://schemas.openxmlformats.org/officeDocument/2006/relationships/hyperlink" Target="https://www.edf-feph.org/content/uploads/2022/09/Final-Forced-Sterilisarion-Report-2022-European-Union-copia_compressed.pdf" TargetMode="External"/><Relationship Id="rId11" Type="http://schemas.openxmlformats.org/officeDocument/2006/relationships/hyperlink" Target="https://bettercarenetwork.org/library/particular-threats-to-childrens-care-and-protection/effects-of-institutional-care" TargetMode="External"/><Relationship Id="rId5" Type="http://schemas.openxmlformats.org/officeDocument/2006/relationships/hyperlink" Target="https://lumos.contentfiles.net/media/documents/document/2017/03/Factsheet_Lumos_Risks.pdf" TargetMode="External"/><Relationship Id="rId15" Type="http://schemas.openxmlformats.org/officeDocument/2006/relationships/hyperlink" Target="https://www.campaigntoendloneliness.org/disability-and-loneliness/" TargetMode="External"/><Relationship Id="rId10" Type="http://schemas.openxmlformats.org/officeDocument/2006/relationships/hyperlink" Target="https://lumos.contentfiles.net/media/documents/document/2017/03/Factsheet_Lumos_Risks.pdf" TargetMode="External"/><Relationship Id="rId4" Type="http://schemas.openxmlformats.org/officeDocument/2006/relationships/hyperlink" Target="https://bettercarenetwork.org/library/particular-threats-to-childrens-care-and-protection/effects-of-institutional-care" TargetMode="External"/><Relationship Id="rId9" Type="http://schemas.openxmlformats.org/officeDocument/2006/relationships/hyperlink" Target="https://www.ncbi.nlm.nih.gov/books/NBK373333/" TargetMode="External"/><Relationship Id="rId14" Type="http://schemas.openxmlformats.org/officeDocument/2006/relationships/hyperlink" Target="https://www.campaigntoendloneliness.org/disability-and-loneliness/" TargetMode="External"/></Relationships>
</file>

<file path=word/_rels/header2.xml.rels><?xml version="1.0" encoding="UTF-8" standalone="yes"?>
<Relationships xmlns="http://schemas.openxmlformats.org/package/2006/relationships"><Relationship Id="rId3" Type="http://schemas.openxmlformats.org/officeDocument/2006/relationships/image" Target="media/image4.png"/><Relationship Id="rId2" Type="http://schemas.openxmlformats.org/officeDocument/2006/relationships/image" Target="media/image3.jpeg"/><Relationship Id="rId1" Type="http://schemas.openxmlformats.org/officeDocument/2006/relationships/image" Target="media/image2.png"/><Relationship Id="rId4" Type="http://schemas.openxmlformats.org/officeDocument/2006/relationships/image" Target="media/image5.jpeg"/></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Cher" typeface="Plantagenet Cherokee"/>
        <a:font script="Yiii" typeface="Microsoft Yi Baiti"/>
        <a:font script="Thaa" typeface="MV Boli"/>
        <a:font script="Syrc" typeface="Estrangelo Edessa"/>
        <a:font script="Mong" typeface="Mongolian Baiti"/>
        <a:font script="Viet" typeface="Times New Roman"/>
        <a:font script="Uigh" typeface="Microsoft Uighur"/>
        <a:font script="Bugi" typeface="Leelawadee UI"/>
        <a:font script="Bopo" typeface="Microsoft JhengHei"/>
        <a:font script="Lisu" typeface="Segoe UI"/>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Cher" typeface="Plantagenet Cherokee"/>
        <a:font script="Yiii" typeface="Microsoft Yi Baiti"/>
        <a:font script="Thaa" typeface="MV Boli"/>
        <a:font script="Syrc" typeface="Estrangelo Edessa"/>
        <a:font script="Mong" typeface="Mongolian Baiti"/>
        <a:font script="Viet" typeface="Arial"/>
        <a:font script="Uigh" typeface="Microsoft Uighur"/>
        <a:font script="Bugi" typeface="Leelawadee UI"/>
        <a:font script="Bopo" typeface="Microsoft JhengHei"/>
        <a:font script="Lisu" typeface="Segoe UI"/>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354BA9C-A910-41FF-8389-388BC5FC10A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TotalTime>
  <Pages>50</Pages>
  <Words>18757</Words>
  <Characters>103167</Characters>
  <Application>Microsoft Office Word</Application>
  <DocSecurity>0</DocSecurity>
  <Lines>859</Lines>
  <Paragraphs>243</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121681</CharactersWithSpaces>
  <SharedDoc>false</SharedDoc>
  <HLinks>
    <vt:vector size="792" baseType="variant">
      <vt:variant>
        <vt:i4>6356994</vt:i4>
      </vt:variant>
      <vt:variant>
        <vt:i4>552</vt:i4>
      </vt:variant>
      <vt:variant>
        <vt:i4>0</vt:i4>
      </vt:variant>
      <vt:variant>
        <vt:i4>5</vt:i4>
      </vt:variant>
      <vt:variant>
        <vt:lpwstr>mailto:info@edf-feph.org</vt:lpwstr>
      </vt:variant>
      <vt:variant>
        <vt:lpwstr/>
      </vt:variant>
      <vt:variant>
        <vt:i4>5046300</vt:i4>
      </vt:variant>
      <vt:variant>
        <vt:i4>549</vt:i4>
      </vt:variant>
      <vt:variant>
        <vt:i4>0</vt:i4>
      </vt:variant>
      <vt:variant>
        <vt:i4>5</vt:i4>
      </vt:variant>
      <vt:variant>
        <vt:lpwstr>http://www.edf-feph.org/</vt:lpwstr>
      </vt:variant>
      <vt:variant>
        <vt:lpwstr/>
      </vt:variant>
      <vt:variant>
        <vt:i4>6750275</vt:i4>
      </vt:variant>
      <vt:variant>
        <vt:i4>546</vt:i4>
      </vt:variant>
      <vt:variant>
        <vt:i4>0</vt:i4>
      </vt:variant>
      <vt:variant>
        <vt:i4>5</vt:i4>
      </vt:variant>
      <vt:variant>
        <vt:lpwstr>mailto:haydn.hammersley@edf-feph.org</vt:lpwstr>
      </vt:variant>
      <vt:variant>
        <vt:lpwstr/>
      </vt:variant>
      <vt:variant>
        <vt:i4>5373972</vt:i4>
      </vt:variant>
      <vt:variant>
        <vt:i4>543</vt:i4>
      </vt:variant>
      <vt:variant>
        <vt:i4>0</vt:i4>
      </vt:variant>
      <vt:variant>
        <vt:i4>5</vt:i4>
      </vt:variant>
      <vt:variant>
        <vt:lpwstr>https://deinstitutionalisationdotcom.files.wordpress.com/2020/05/eeg-di-report-2020-1.pdf</vt:lpwstr>
      </vt:variant>
      <vt:variant>
        <vt:lpwstr/>
      </vt:variant>
      <vt:variant>
        <vt:i4>2687032</vt:i4>
      </vt:variant>
      <vt:variant>
        <vt:i4>540</vt:i4>
      </vt:variant>
      <vt:variant>
        <vt:i4>0</vt:i4>
      </vt:variant>
      <vt:variant>
        <vt:i4>5</vt:i4>
      </vt:variant>
      <vt:variant>
        <vt:lpwstr>https://deinstitutionalisationdotcom.files.wordpress.com/2021/07/updated-checklist-new-eeg-logo.pdf</vt:lpwstr>
      </vt:variant>
      <vt:variant>
        <vt:lpwstr/>
      </vt:variant>
      <vt:variant>
        <vt:i4>1507420</vt:i4>
      </vt:variant>
      <vt:variant>
        <vt:i4>537</vt:i4>
      </vt:variant>
      <vt:variant>
        <vt:i4>0</vt:i4>
      </vt:variant>
      <vt:variant>
        <vt:i4>5</vt:i4>
      </vt:variant>
      <vt:variant>
        <vt:lpwstr>https://deinstitutionalisationdotcom.files.wordpress.com/2022/12/eu-guidance-on-independent-living-and-inclusion-in-the-community-2-1.pdf</vt:lpwstr>
      </vt:variant>
      <vt:variant>
        <vt:lpwstr/>
      </vt:variant>
      <vt:variant>
        <vt:i4>720907</vt:i4>
      </vt:variant>
      <vt:variant>
        <vt:i4>534</vt:i4>
      </vt:variant>
      <vt:variant>
        <vt:i4>0</vt:i4>
      </vt:variant>
      <vt:variant>
        <vt:i4>5</vt:i4>
      </vt:variant>
      <vt:variant>
        <vt:lpwstr>https://www.ohchr.org/en/documents/thematic-reports/ahrc5232-transformation-services-persons-disabilities</vt:lpwstr>
      </vt:variant>
      <vt:variant>
        <vt:lpwstr/>
      </vt:variant>
      <vt:variant>
        <vt:i4>1638416</vt:i4>
      </vt:variant>
      <vt:variant>
        <vt:i4>531</vt:i4>
      </vt:variant>
      <vt:variant>
        <vt:i4>0</vt:i4>
      </vt:variant>
      <vt:variant>
        <vt:i4>5</vt:i4>
      </vt:variant>
      <vt:variant>
        <vt:lpwstr>https://www.ohchr.org/en/documents/legal-standards-and-guidelines/crpdc5-guidelines-deinstitutionalization-including</vt:lpwstr>
      </vt:variant>
      <vt:variant>
        <vt:lpwstr/>
      </vt:variant>
      <vt:variant>
        <vt:i4>5439490</vt:i4>
      </vt:variant>
      <vt:variant>
        <vt:i4>528</vt:i4>
      </vt:variant>
      <vt:variant>
        <vt:i4>0</vt:i4>
      </vt:variant>
      <vt:variant>
        <vt:i4>5</vt:i4>
      </vt:variant>
      <vt:variant>
        <vt:lpwstr>https://www.ohchr.org/en/documents/general-comments-and-recommendations/general-comment-no5-article-19-right-live</vt:lpwstr>
      </vt:variant>
      <vt:variant>
        <vt:lpwstr/>
      </vt:variant>
      <vt:variant>
        <vt:i4>7209001</vt:i4>
      </vt:variant>
      <vt:variant>
        <vt:i4>525</vt:i4>
      </vt:variant>
      <vt:variant>
        <vt:i4>0</vt:i4>
      </vt:variant>
      <vt:variant>
        <vt:i4>5</vt:i4>
      </vt:variant>
      <vt:variant>
        <vt:lpwstr>https://www.un.org/development/desa/disabilities/convention-on-the-rights-of-persons-with-disabilities/article-19-living-independently-and-being-included-in-the-community.html</vt:lpwstr>
      </vt:variant>
      <vt:variant>
        <vt:lpwstr/>
      </vt:variant>
      <vt:variant>
        <vt:i4>2424913</vt:i4>
      </vt:variant>
      <vt:variant>
        <vt:i4>522</vt:i4>
      </vt:variant>
      <vt:variant>
        <vt:i4>0</vt:i4>
      </vt:variant>
      <vt:variant>
        <vt:i4>5</vt:i4>
      </vt:variant>
      <vt:variant>
        <vt:lpwstr>https://ec.europa.eu/assets/sg/report-a-breach/complaints_en/</vt:lpwstr>
      </vt:variant>
      <vt:variant>
        <vt:lpwstr/>
      </vt:variant>
      <vt:variant>
        <vt:i4>2162782</vt:i4>
      </vt:variant>
      <vt:variant>
        <vt:i4>519</vt:i4>
      </vt:variant>
      <vt:variant>
        <vt:i4>0</vt:i4>
      </vt:variant>
      <vt:variant>
        <vt:i4>5</vt:i4>
      </vt:variant>
      <vt:variant>
        <vt:lpwstr>https://commission.europa.eu/business-economy-euro/economic-and-fiscal-policy-coordination/european-semester_en</vt:lpwstr>
      </vt:variant>
      <vt:variant>
        <vt:lpwstr/>
      </vt:variant>
      <vt:variant>
        <vt:i4>458877</vt:i4>
      </vt:variant>
      <vt:variant>
        <vt:i4>516</vt:i4>
      </vt:variant>
      <vt:variant>
        <vt:i4>0</vt:i4>
      </vt:variant>
      <vt:variant>
        <vt:i4>5</vt:i4>
      </vt:variant>
      <vt:variant>
        <vt:lpwstr>https://commission.europa.eu/funding-tenders/find-funding/funding-management-mode/common-provisions-regulation_en</vt:lpwstr>
      </vt:variant>
      <vt:variant>
        <vt:lpwstr/>
      </vt:variant>
      <vt:variant>
        <vt:i4>2883591</vt:i4>
      </vt:variant>
      <vt:variant>
        <vt:i4>513</vt:i4>
      </vt:variant>
      <vt:variant>
        <vt:i4>0</vt:i4>
      </vt:variant>
      <vt:variant>
        <vt:i4>5</vt:i4>
      </vt:variant>
      <vt:variant>
        <vt:lpwstr>https://neighbourhood-enlargement.ec.europa.eu/funding-and-technical-assistance/neighbourhood-development-and-international-cooperation-instrument-global-europe-ndici-global-europe_en</vt:lpwstr>
      </vt:variant>
      <vt:variant>
        <vt:lpwstr/>
      </vt:variant>
      <vt:variant>
        <vt:i4>6226016</vt:i4>
      </vt:variant>
      <vt:variant>
        <vt:i4>510</vt:i4>
      </vt:variant>
      <vt:variant>
        <vt:i4>0</vt:i4>
      </vt:variant>
      <vt:variant>
        <vt:i4>5</vt:i4>
      </vt:variant>
      <vt:variant>
        <vt:lpwstr>https://neighbourhood-enlargement.ec.europa.eu/enlargement-policy/overview-instrument-pre-accession-assistance_en</vt:lpwstr>
      </vt:variant>
      <vt:variant>
        <vt:lpwstr/>
      </vt:variant>
      <vt:variant>
        <vt:i4>5767222</vt:i4>
      </vt:variant>
      <vt:variant>
        <vt:i4>507</vt:i4>
      </vt:variant>
      <vt:variant>
        <vt:i4>0</vt:i4>
      </vt:variant>
      <vt:variant>
        <vt:i4>5</vt:i4>
      </vt:variant>
      <vt:variant>
        <vt:lpwstr>https://commission.europa.eu/funding-tenders/find-funding/eu-funding-programmes/technical-support-instrument_en</vt:lpwstr>
      </vt:variant>
      <vt:variant>
        <vt:lpwstr>:~:text=The%20Technical%20Support%20Instrument%20helps,expert%20visits%20on%20the%20ground.</vt:lpwstr>
      </vt:variant>
      <vt:variant>
        <vt:i4>3145733</vt:i4>
      </vt:variant>
      <vt:variant>
        <vt:i4>504</vt:i4>
      </vt:variant>
      <vt:variant>
        <vt:i4>0</vt:i4>
      </vt:variant>
      <vt:variant>
        <vt:i4>5</vt:i4>
      </vt:variant>
      <vt:variant>
        <vt:lpwstr>https://commission.europa.eu/strategy-and-policy/eu-budget/long-term-eu-budget/2021-2027_en</vt:lpwstr>
      </vt:variant>
      <vt:variant>
        <vt:lpwstr/>
      </vt:variant>
      <vt:variant>
        <vt:i4>4390981</vt:i4>
      </vt:variant>
      <vt:variant>
        <vt:i4>501</vt:i4>
      </vt:variant>
      <vt:variant>
        <vt:i4>0</vt:i4>
      </vt:variant>
      <vt:variant>
        <vt:i4>5</vt:i4>
      </vt:variant>
      <vt:variant>
        <vt:lpwstr>https://ec.europa.eu/regional_policy/funding/erdf_en</vt:lpwstr>
      </vt:variant>
      <vt:variant>
        <vt:lpwstr/>
      </vt:variant>
      <vt:variant>
        <vt:i4>5242956</vt:i4>
      </vt:variant>
      <vt:variant>
        <vt:i4>498</vt:i4>
      </vt:variant>
      <vt:variant>
        <vt:i4>0</vt:i4>
      </vt:variant>
      <vt:variant>
        <vt:i4>5</vt:i4>
      </vt:variant>
      <vt:variant>
        <vt:lpwstr>https://ec.europa.eu/european-social-fund-plus/en</vt:lpwstr>
      </vt:variant>
      <vt:variant>
        <vt:lpwstr/>
      </vt:variant>
      <vt:variant>
        <vt:i4>1900668</vt:i4>
      </vt:variant>
      <vt:variant>
        <vt:i4>495</vt:i4>
      </vt:variant>
      <vt:variant>
        <vt:i4>0</vt:i4>
      </vt:variant>
      <vt:variant>
        <vt:i4>5</vt:i4>
      </vt:variant>
      <vt:variant>
        <vt:lpwstr>https://commission.europa.eu/funding-tenders/find-funding/eu-funding-programmes/technical-support-instrument/technical-support-instrument-tsi_en</vt:lpwstr>
      </vt:variant>
      <vt:variant>
        <vt:lpwstr>:~:text=The%20Technical%20Support%20Instrument%20(TSI,to%20design%20and%20implement%20reforms.</vt:lpwstr>
      </vt:variant>
      <vt:variant>
        <vt:i4>1179678</vt:i4>
      </vt:variant>
      <vt:variant>
        <vt:i4>492</vt:i4>
      </vt:variant>
      <vt:variant>
        <vt:i4>0</vt:i4>
      </vt:variant>
      <vt:variant>
        <vt:i4>5</vt:i4>
      </vt:variant>
      <vt:variant>
        <vt:lpwstr>https://fra.europa.eu/en</vt:lpwstr>
      </vt:variant>
      <vt:variant>
        <vt:lpwstr/>
      </vt:variant>
      <vt:variant>
        <vt:i4>1966091</vt:i4>
      </vt:variant>
      <vt:variant>
        <vt:i4>489</vt:i4>
      </vt:variant>
      <vt:variant>
        <vt:i4>0</vt:i4>
      </vt:variant>
      <vt:variant>
        <vt:i4>5</vt:i4>
      </vt:variant>
      <vt:variant>
        <vt:lpwstr>https://ec.europa.eu/social/main.jsp?langId=en&amp;catId=1196&amp;newsId=9163&amp;furtherNews=yes</vt:lpwstr>
      </vt:variant>
      <vt:variant>
        <vt:lpwstr/>
      </vt:variant>
      <vt:variant>
        <vt:i4>4915284</vt:i4>
      </vt:variant>
      <vt:variant>
        <vt:i4>486</vt:i4>
      </vt:variant>
      <vt:variant>
        <vt:i4>0</vt:i4>
      </vt:variant>
      <vt:variant>
        <vt:i4>5</vt:i4>
      </vt:variant>
      <vt:variant>
        <vt:lpwstr>https://ec.europa.eu/eurostat</vt:lpwstr>
      </vt:variant>
      <vt:variant>
        <vt:lpwstr/>
      </vt:variant>
      <vt:variant>
        <vt:i4>458817</vt:i4>
      </vt:variant>
      <vt:variant>
        <vt:i4>483</vt:i4>
      </vt:variant>
      <vt:variant>
        <vt:i4>0</vt:i4>
      </vt:variant>
      <vt:variant>
        <vt:i4>5</vt:i4>
      </vt:variant>
      <vt:variant>
        <vt:lpwstr>https://ec.europa.eu/regional_policy/policy/what/investment-policy_en</vt:lpwstr>
      </vt:variant>
      <vt:variant>
        <vt:lpwstr>:~:text=Cohesion%20Policy%20is%20the%20EU%27s,improve%20citizens%27%20quality%20of%20life.</vt:lpwstr>
      </vt:variant>
      <vt:variant>
        <vt:i4>6815860</vt:i4>
      </vt:variant>
      <vt:variant>
        <vt:i4>480</vt:i4>
      </vt:variant>
      <vt:variant>
        <vt:i4>0</vt:i4>
      </vt:variant>
      <vt:variant>
        <vt:i4>5</vt:i4>
      </vt:variant>
      <vt:variant>
        <vt:lpwstr>https://eur-lex.europa.eu/legal-content/EN/TXT/?uri=CELEX%3A32021R1060</vt:lpwstr>
      </vt:variant>
      <vt:variant>
        <vt:lpwstr/>
      </vt:variant>
      <vt:variant>
        <vt:i4>8060943</vt:i4>
      </vt:variant>
      <vt:variant>
        <vt:i4>477</vt:i4>
      </vt:variant>
      <vt:variant>
        <vt:i4>0</vt:i4>
      </vt:variant>
      <vt:variant>
        <vt:i4>5</vt:i4>
      </vt:variant>
      <vt:variant>
        <vt:lpwstr>https://commission.europa.eu/funding-tenders/find-funding/eu-funding-programmes/technical-support-instrument/technical-support-instrument-tsi_en</vt:lpwstr>
      </vt:variant>
      <vt:variant>
        <vt:lpwstr/>
      </vt:variant>
      <vt:variant>
        <vt:i4>917571</vt:i4>
      </vt:variant>
      <vt:variant>
        <vt:i4>474</vt:i4>
      </vt:variant>
      <vt:variant>
        <vt:i4>0</vt:i4>
      </vt:variant>
      <vt:variant>
        <vt:i4>5</vt:i4>
      </vt:variant>
      <vt:variant>
        <vt:lpwstr>https://www.edf-feph.org/publications/human-rights-report-2023-the-right-to-work/</vt:lpwstr>
      </vt:variant>
      <vt:variant>
        <vt:lpwstr/>
      </vt:variant>
      <vt:variant>
        <vt:i4>5767196</vt:i4>
      </vt:variant>
      <vt:variant>
        <vt:i4>471</vt:i4>
      </vt:variant>
      <vt:variant>
        <vt:i4>0</vt:i4>
      </vt:variant>
      <vt:variant>
        <vt:i4>5</vt:i4>
      </vt:variant>
      <vt:variant>
        <vt:lpwstr>https://social.desa.un.org/issues/disability/crpd/article-19-living-independently-and-being-included-in-the-community</vt:lpwstr>
      </vt:variant>
      <vt:variant>
        <vt:lpwstr/>
      </vt:variant>
      <vt:variant>
        <vt:i4>458837</vt:i4>
      </vt:variant>
      <vt:variant>
        <vt:i4>468</vt:i4>
      </vt:variant>
      <vt:variant>
        <vt:i4>0</vt:i4>
      </vt:variant>
      <vt:variant>
        <vt:i4>5</vt:i4>
      </vt:variant>
      <vt:variant>
        <vt:lpwstr>https://www.uloba.no/</vt:lpwstr>
      </vt:variant>
      <vt:variant>
        <vt:lpwstr/>
      </vt:variant>
      <vt:variant>
        <vt:i4>5636175</vt:i4>
      </vt:variant>
      <vt:variant>
        <vt:i4>465</vt:i4>
      </vt:variant>
      <vt:variant>
        <vt:i4>0</vt:i4>
      </vt:variant>
      <vt:variant>
        <vt:i4>5</vt:i4>
      </vt:variant>
      <vt:variant>
        <vt:lpwstr>https://adata.org/sites/adata.org/files/files/PARC%20NH%20percent%20FactSheet.pdf</vt:lpwstr>
      </vt:variant>
      <vt:variant>
        <vt:lpwstr/>
      </vt:variant>
      <vt:variant>
        <vt:i4>4915284</vt:i4>
      </vt:variant>
      <vt:variant>
        <vt:i4>462</vt:i4>
      </vt:variant>
      <vt:variant>
        <vt:i4>0</vt:i4>
      </vt:variant>
      <vt:variant>
        <vt:i4>5</vt:i4>
      </vt:variant>
      <vt:variant>
        <vt:lpwstr>https://ec.europa.eu/eurostat</vt:lpwstr>
      </vt:variant>
      <vt:variant>
        <vt:lpwstr/>
      </vt:variant>
      <vt:variant>
        <vt:i4>3014704</vt:i4>
      </vt:variant>
      <vt:variant>
        <vt:i4>459</vt:i4>
      </vt:variant>
      <vt:variant>
        <vt:i4>0</vt:i4>
      </vt:variant>
      <vt:variant>
        <vt:i4>5</vt:i4>
      </vt:variant>
      <vt:variant>
        <vt:lpwstr>https://www.edf-feph.org/newsroom-news-residential-institutions-are-becoming-hotbeds-infection-and-abuse-governments-need-act/</vt:lpwstr>
      </vt:variant>
      <vt:variant>
        <vt:lpwstr/>
      </vt:variant>
      <vt:variant>
        <vt:i4>6094866</vt:i4>
      </vt:variant>
      <vt:variant>
        <vt:i4>456</vt:i4>
      </vt:variant>
      <vt:variant>
        <vt:i4>0</vt:i4>
      </vt:variant>
      <vt:variant>
        <vt:i4>5</vt:i4>
      </vt:variant>
      <vt:variant>
        <vt:lpwstr>https://www.euractiv.com/section/politics/news/romania-horrified-by-inhumane-abuse-in-care-centres-for-disabled/</vt:lpwstr>
      </vt:variant>
      <vt:variant>
        <vt:lpwstr/>
      </vt:variant>
      <vt:variant>
        <vt:i4>4128887</vt:i4>
      </vt:variant>
      <vt:variant>
        <vt:i4>453</vt:i4>
      </vt:variant>
      <vt:variant>
        <vt:i4>0</vt:i4>
      </vt:variant>
      <vt:variant>
        <vt:i4>5</vt:i4>
      </vt:variant>
      <vt:variant>
        <vt:lpwstr>https://www.inclusion-europe.eu/deaths-and-abuse-of-people-with-severe-intellectual-disabilities-and-autism-in-czechia-respekt-magazine-investigation/</vt:lpwstr>
      </vt:variant>
      <vt:variant>
        <vt:lpwstr/>
      </vt:variant>
      <vt:variant>
        <vt:i4>5111812</vt:i4>
      </vt:variant>
      <vt:variant>
        <vt:i4>450</vt:i4>
      </vt:variant>
      <vt:variant>
        <vt:i4>0</vt:i4>
      </vt:variant>
      <vt:variant>
        <vt:i4>5</vt:i4>
      </vt:variant>
      <vt:variant>
        <vt:lpwstr>https://www.inclusion-europe.eu/</vt:lpwstr>
      </vt:variant>
      <vt:variant>
        <vt:lpwstr/>
      </vt:variant>
      <vt:variant>
        <vt:i4>5373966</vt:i4>
      </vt:variant>
      <vt:variant>
        <vt:i4>447</vt:i4>
      </vt:variant>
      <vt:variant>
        <vt:i4>0</vt:i4>
      </vt:variant>
      <vt:variant>
        <vt:i4>5</vt:i4>
      </vt:variant>
      <vt:variant>
        <vt:lpwstr>https://www.edf-feph.org/newsroom-news-close-institutions-now-our-reactions-abuses-whorton-hall-specialist-hospital/</vt:lpwstr>
      </vt:variant>
      <vt:variant>
        <vt:lpwstr/>
      </vt:variant>
      <vt:variant>
        <vt:i4>3145733</vt:i4>
      </vt:variant>
      <vt:variant>
        <vt:i4>444</vt:i4>
      </vt:variant>
      <vt:variant>
        <vt:i4>0</vt:i4>
      </vt:variant>
      <vt:variant>
        <vt:i4>5</vt:i4>
      </vt:variant>
      <vt:variant>
        <vt:lpwstr>https://commission.europa.eu/strategy-and-policy/eu-budget/long-term-eu-budget/2021-2027_en</vt:lpwstr>
      </vt:variant>
      <vt:variant>
        <vt:lpwstr/>
      </vt:variant>
      <vt:variant>
        <vt:i4>7733308</vt:i4>
      </vt:variant>
      <vt:variant>
        <vt:i4>441</vt:i4>
      </vt:variant>
      <vt:variant>
        <vt:i4>0</vt:i4>
      </vt:variant>
      <vt:variant>
        <vt:i4>5</vt:i4>
      </vt:variant>
      <vt:variant>
        <vt:lpwstr>https://www.edf-feph.org/content/uploads/2023/02/UNSR-Report-on-visit-to-Europe.pdf</vt:lpwstr>
      </vt:variant>
      <vt:variant>
        <vt:lpwstr/>
      </vt:variant>
      <vt:variant>
        <vt:i4>5373972</vt:i4>
      </vt:variant>
      <vt:variant>
        <vt:i4>438</vt:i4>
      </vt:variant>
      <vt:variant>
        <vt:i4>0</vt:i4>
      </vt:variant>
      <vt:variant>
        <vt:i4>5</vt:i4>
      </vt:variant>
      <vt:variant>
        <vt:lpwstr>https://deinstitutionalisationdotcom.files.wordpress.com/2020/05/eeg-di-report-2020-1.pdf</vt:lpwstr>
      </vt:variant>
      <vt:variant>
        <vt:lpwstr/>
      </vt:variant>
      <vt:variant>
        <vt:i4>6815860</vt:i4>
      </vt:variant>
      <vt:variant>
        <vt:i4>435</vt:i4>
      </vt:variant>
      <vt:variant>
        <vt:i4>0</vt:i4>
      </vt:variant>
      <vt:variant>
        <vt:i4>5</vt:i4>
      </vt:variant>
      <vt:variant>
        <vt:lpwstr>https://eur-lex.europa.eu/legal-content/EN/TXT/?uri=CELEX%3A32021R1060</vt:lpwstr>
      </vt:variant>
      <vt:variant>
        <vt:lpwstr/>
      </vt:variant>
      <vt:variant>
        <vt:i4>1638416</vt:i4>
      </vt:variant>
      <vt:variant>
        <vt:i4>432</vt:i4>
      </vt:variant>
      <vt:variant>
        <vt:i4>0</vt:i4>
      </vt:variant>
      <vt:variant>
        <vt:i4>5</vt:i4>
      </vt:variant>
      <vt:variant>
        <vt:lpwstr>https://www.ohchr.org/en/documents/legal-standards-and-guidelines/crpdc5-guidelines-deinstitutionalization-including</vt:lpwstr>
      </vt:variant>
      <vt:variant>
        <vt:lpwstr/>
      </vt:variant>
      <vt:variant>
        <vt:i4>5439490</vt:i4>
      </vt:variant>
      <vt:variant>
        <vt:i4>429</vt:i4>
      </vt:variant>
      <vt:variant>
        <vt:i4>0</vt:i4>
      </vt:variant>
      <vt:variant>
        <vt:i4>5</vt:i4>
      </vt:variant>
      <vt:variant>
        <vt:lpwstr>https://www.ohchr.org/en/documents/general-comments-and-recommendations/general-comment-no5-article-19-right-live</vt:lpwstr>
      </vt:variant>
      <vt:variant>
        <vt:lpwstr/>
      </vt:variant>
      <vt:variant>
        <vt:i4>7209001</vt:i4>
      </vt:variant>
      <vt:variant>
        <vt:i4>426</vt:i4>
      </vt:variant>
      <vt:variant>
        <vt:i4>0</vt:i4>
      </vt:variant>
      <vt:variant>
        <vt:i4>5</vt:i4>
      </vt:variant>
      <vt:variant>
        <vt:lpwstr>https://www.un.org/development/desa/disabilities/convention-on-the-rights-of-persons-with-disabilities/article-19-living-independently-and-being-included-in-the-community.html</vt:lpwstr>
      </vt:variant>
      <vt:variant>
        <vt:lpwstr/>
      </vt:variant>
      <vt:variant>
        <vt:i4>2293870</vt:i4>
      </vt:variant>
      <vt:variant>
        <vt:i4>423</vt:i4>
      </vt:variant>
      <vt:variant>
        <vt:i4>0</vt:i4>
      </vt:variant>
      <vt:variant>
        <vt:i4>5</vt:i4>
      </vt:variant>
      <vt:variant>
        <vt:lpwstr>https://www.ohchr.org/en/instruments-mechanisms/instruments/convention-rights-persons-disabilities</vt:lpwstr>
      </vt:variant>
      <vt:variant>
        <vt:lpwstr/>
      </vt:variant>
      <vt:variant>
        <vt:i4>6160469</vt:i4>
      </vt:variant>
      <vt:variant>
        <vt:i4>420</vt:i4>
      </vt:variant>
      <vt:variant>
        <vt:i4>0</vt:i4>
      </vt:variant>
      <vt:variant>
        <vt:i4>5</vt:i4>
      </vt:variant>
      <vt:variant>
        <vt:lpwstr>https://ec.europa.eu/social/main.jsp?catId=1484&amp;langId=en</vt:lpwstr>
      </vt:variant>
      <vt:variant>
        <vt:lpwstr/>
      </vt:variant>
      <vt:variant>
        <vt:i4>5505105</vt:i4>
      </vt:variant>
      <vt:variant>
        <vt:i4>417</vt:i4>
      </vt:variant>
      <vt:variant>
        <vt:i4>0</vt:i4>
      </vt:variant>
      <vt:variant>
        <vt:i4>5</vt:i4>
      </vt:variant>
      <vt:variant>
        <vt:lpwstr>https://ec.europa.eu/social/main.jsp?catId=1226&amp;langId=en</vt:lpwstr>
      </vt:variant>
      <vt:variant>
        <vt:lpwstr/>
      </vt:variant>
      <vt:variant>
        <vt:i4>983051</vt:i4>
      </vt:variant>
      <vt:variant>
        <vt:i4>414</vt:i4>
      </vt:variant>
      <vt:variant>
        <vt:i4>0</vt:i4>
      </vt:variant>
      <vt:variant>
        <vt:i4>5</vt:i4>
      </vt:variant>
      <vt:variant>
        <vt:lpwstr>https://www.edf-feph.org/our-members/</vt:lpwstr>
      </vt:variant>
      <vt:variant>
        <vt:lpwstr/>
      </vt:variant>
      <vt:variant>
        <vt:i4>1638406</vt:i4>
      </vt:variant>
      <vt:variant>
        <vt:i4>411</vt:i4>
      </vt:variant>
      <vt:variant>
        <vt:i4>0</vt:i4>
      </vt:variant>
      <vt:variant>
        <vt:i4>5</vt:i4>
      </vt:variant>
      <vt:variant>
        <vt:lpwstr>https://social.desa.un.org/issues/disability/crpd/convention-on-the-rights-of-persons-with-disabilities-crpd</vt:lpwstr>
      </vt:variant>
      <vt:variant>
        <vt:lpwstr/>
      </vt:variant>
      <vt:variant>
        <vt:i4>1114160</vt:i4>
      </vt:variant>
      <vt:variant>
        <vt:i4>404</vt:i4>
      </vt:variant>
      <vt:variant>
        <vt:i4>0</vt:i4>
      </vt:variant>
      <vt:variant>
        <vt:i4>5</vt:i4>
      </vt:variant>
      <vt:variant>
        <vt:lpwstr/>
      </vt:variant>
      <vt:variant>
        <vt:lpwstr>_Toc161062622</vt:lpwstr>
      </vt:variant>
      <vt:variant>
        <vt:i4>1114160</vt:i4>
      </vt:variant>
      <vt:variant>
        <vt:i4>398</vt:i4>
      </vt:variant>
      <vt:variant>
        <vt:i4>0</vt:i4>
      </vt:variant>
      <vt:variant>
        <vt:i4>5</vt:i4>
      </vt:variant>
      <vt:variant>
        <vt:lpwstr/>
      </vt:variant>
      <vt:variant>
        <vt:lpwstr>_Toc161062621</vt:lpwstr>
      </vt:variant>
      <vt:variant>
        <vt:i4>1114160</vt:i4>
      </vt:variant>
      <vt:variant>
        <vt:i4>392</vt:i4>
      </vt:variant>
      <vt:variant>
        <vt:i4>0</vt:i4>
      </vt:variant>
      <vt:variant>
        <vt:i4>5</vt:i4>
      </vt:variant>
      <vt:variant>
        <vt:lpwstr/>
      </vt:variant>
      <vt:variant>
        <vt:lpwstr>_Toc161062620</vt:lpwstr>
      </vt:variant>
      <vt:variant>
        <vt:i4>1179696</vt:i4>
      </vt:variant>
      <vt:variant>
        <vt:i4>386</vt:i4>
      </vt:variant>
      <vt:variant>
        <vt:i4>0</vt:i4>
      </vt:variant>
      <vt:variant>
        <vt:i4>5</vt:i4>
      </vt:variant>
      <vt:variant>
        <vt:lpwstr/>
      </vt:variant>
      <vt:variant>
        <vt:lpwstr>_Toc161062619</vt:lpwstr>
      </vt:variant>
      <vt:variant>
        <vt:i4>1179696</vt:i4>
      </vt:variant>
      <vt:variant>
        <vt:i4>380</vt:i4>
      </vt:variant>
      <vt:variant>
        <vt:i4>0</vt:i4>
      </vt:variant>
      <vt:variant>
        <vt:i4>5</vt:i4>
      </vt:variant>
      <vt:variant>
        <vt:lpwstr/>
      </vt:variant>
      <vt:variant>
        <vt:lpwstr>_Toc161062618</vt:lpwstr>
      </vt:variant>
      <vt:variant>
        <vt:i4>1179696</vt:i4>
      </vt:variant>
      <vt:variant>
        <vt:i4>374</vt:i4>
      </vt:variant>
      <vt:variant>
        <vt:i4>0</vt:i4>
      </vt:variant>
      <vt:variant>
        <vt:i4>5</vt:i4>
      </vt:variant>
      <vt:variant>
        <vt:lpwstr/>
      </vt:variant>
      <vt:variant>
        <vt:lpwstr>_Toc161062617</vt:lpwstr>
      </vt:variant>
      <vt:variant>
        <vt:i4>1179696</vt:i4>
      </vt:variant>
      <vt:variant>
        <vt:i4>368</vt:i4>
      </vt:variant>
      <vt:variant>
        <vt:i4>0</vt:i4>
      </vt:variant>
      <vt:variant>
        <vt:i4>5</vt:i4>
      </vt:variant>
      <vt:variant>
        <vt:lpwstr/>
      </vt:variant>
      <vt:variant>
        <vt:lpwstr>_Toc161062616</vt:lpwstr>
      </vt:variant>
      <vt:variant>
        <vt:i4>1179696</vt:i4>
      </vt:variant>
      <vt:variant>
        <vt:i4>362</vt:i4>
      </vt:variant>
      <vt:variant>
        <vt:i4>0</vt:i4>
      </vt:variant>
      <vt:variant>
        <vt:i4>5</vt:i4>
      </vt:variant>
      <vt:variant>
        <vt:lpwstr/>
      </vt:variant>
      <vt:variant>
        <vt:lpwstr>_Toc161062615</vt:lpwstr>
      </vt:variant>
      <vt:variant>
        <vt:i4>1179696</vt:i4>
      </vt:variant>
      <vt:variant>
        <vt:i4>356</vt:i4>
      </vt:variant>
      <vt:variant>
        <vt:i4>0</vt:i4>
      </vt:variant>
      <vt:variant>
        <vt:i4>5</vt:i4>
      </vt:variant>
      <vt:variant>
        <vt:lpwstr/>
      </vt:variant>
      <vt:variant>
        <vt:lpwstr>_Toc161062614</vt:lpwstr>
      </vt:variant>
      <vt:variant>
        <vt:i4>1179696</vt:i4>
      </vt:variant>
      <vt:variant>
        <vt:i4>350</vt:i4>
      </vt:variant>
      <vt:variant>
        <vt:i4>0</vt:i4>
      </vt:variant>
      <vt:variant>
        <vt:i4>5</vt:i4>
      </vt:variant>
      <vt:variant>
        <vt:lpwstr/>
      </vt:variant>
      <vt:variant>
        <vt:lpwstr>_Toc161062613</vt:lpwstr>
      </vt:variant>
      <vt:variant>
        <vt:i4>1179696</vt:i4>
      </vt:variant>
      <vt:variant>
        <vt:i4>344</vt:i4>
      </vt:variant>
      <vt:variant>
        <vt:i4>0</vt:i4>
      </vt:variant>
      <vt:variant>
        <vt:i4>5</vt:i4>
      </vt:variant>
      <vt:variant>
        <vt:lpwstr/>
      </vt:variant>
      <vt:variant>
        <vt:lpwstr>_Toc161062612</vt:lpwstr>
      </vt:variant>
      <vt:variant>
        <vt:i4>1179696</vt:i4>
      </vt:variant>
      <vt:variant>
        <vt:i4>338</vt:i4>
      </vt:variant>
      <vt:variant>
        <vt:i4>0</vt:i4>
      </vt:variant>
      <vt:variant>
        <vt:i4>5</vt:i4>
      </vt:variant>
      <vt:variant>
        <vt:lpwstr/>
      </vt:variant>
      <vt:variant>
        <vt:lpwstr>_Toc161062611</vt:lpwstr>
      </vt:variant>
      <vt:variant>
        <vt:i4>1179696</vt:i4>
      </vt:variant>
      <vt:variant>
        <vt:i4>332</vt:i4>
      </vt:variant>
      <vt:variant>
        <vt:i4>0</vt:i4>
      </vt:variant>
      <vt:variant>
        <vt:i4>5</vt:i4>
      </vt:variant>
      <vt:variant>
        <vt:lpwstr/>
      </vt:variant>
      <vt:variant>
        <vt:lpwstr>_Toc161062610</vt:lpwstr>
      </vt:variant>
      <vt:variant>
        <vt:i4>1245232</vt:i4>
      </vt:variant>
      <vt:variant>
        <vt:i4>326</vt:i4>
      </vt:variant>
      <vt:variant>
        <vt:i4>0</vt:i4>
      </vt:variant>
      <vt:variant>
        <vt:i4>5</vt:i4>
      </vt:variant>
      <vt:variant>
        <vt:lpwstr/>
      </vt:variant>
      <vt:variant>
        <vt:lpwstr>_Toc161062609</vt:lpwstr>
      </vt:variant>
      <vt:variant>
        <vt:i4>1245232</vt:i4>
      </vt:variant>
      <vt:variant>
        <vt:i4>320</vt:i4>
      </vt:variant>
      <vt:variant>
        <vt:i4>0</vt:i4>
      </vt:variant>
      <vt:variant>
        <vt:i4>5</vt:i4>
      </vt:variant>
      <vt:variant>
        <vt:lpwstr/>
      </vt:variant>
      <vt:variant>
        <vt:lpwstr>_Toc161062608</vt:lpwstr>
      </vt:variant>
      <vt:variant>
        <vt:i4>1245232</vt:i4>
      </vt:variant>
      <vt:variant>
        <vt:i4>314</vt:i4>
      </vt:variant>
      <vt:variant>
        <vt:i4>0</vt:i4>
      </vt:variant>
      <vt:variant>
        <vt:i4>5</vt:i4>
      </vt:variant>
      <vt:variant>
        <vt:lpwstr/>
      </vt:variant>
      <vt:variant>
        <vt:lpwstr>_Toc161062607</vt:lpwstr>
      </vt:variant>
      <vt:variant>
        <vt:i4>1245232</vt:i4>
      </vt:variant>
      <vt:variant>
        <vt:i4>308</vt:i4>
      </vt:variant>
      <vt:variant>
        <vt:i4>0</vt:i4>
      </vt:variant>
      <vt:variant>
        <vt:i4>5</vt:i4>
      </vt:variant>
      <vt:variant>
        <vt:lpwstr/>
      </vt:variant>
      <vt:variant>
        <vt:lpwstr>_Toc161062606</vt:lpwstr>
      </vt:variant>
      <vt:variant>
        <vt:i4>1245232</vt:i4>
      </vt:variant>
      <vt:variant>
        <vt:i4>302</vt:i4>
      </vt:variant>
      <vt:variant>
        <vt:i4>0</vt:i4>
      </vt:variant>
      <vt:variant>
        <vt:i4>5</vt:i4>
      </vt:variant>
      <vt:variant>
        <vt:lpwstr/>
      </vt:variant>
      <vt:variant>
        <vt:lpwstr>_Toc161062605</vt:lpwstr>
      </vt:variant>
      <vt:variant>
        <vt:i4>1245232</vt:i4>
      </vt:variant>
      <vt:variant>
        <vt:i4>296</vt:i4>
      </vt:variant>
      <vt:variant>
        <vt:i4>0</vt:i4>
      </vt:variant>
      <vt:variant>
        <vt:i4>5</vt:i4>
      </vt:variant>
      <vt:variant>
        <vt:lpwstr/>
      </vt:variant>
      <vt:variant>
        <vt:lpwstr>_Toc161062604</vt:lpwstr>
      </vt:variant>
      <vt:variant>
        <vt:i4>1245232</vt:i4>
      </vt:variant>
      <vt:variant>
        <vt:i4>290</vt:i4>
      </vt:variant>
      <vt:variant>
        <vt:i4>0</vt:i4>
      </vt:variant>
      <vt:variant>
        <vt:i4>5</vt:i4>
      </vt:variant>
      <vt:variant>
        <vt:lpwstr/>
      </vt:variant>
      <vt:variant>
        <vt:lpwstr>_Toc161062603</vt:lpwstr>
      </vt:variant>
      <vt:variant>
        <vt:i4>1245232</vt:i4>
      </vt:variant>
      <vt:variant>
        <vt:i4>284</vt:i4>
      </vt:variant>
      <vt:variant>
        <vt:i4>0</vt:i4>
      </vt:variant>
      <vt:variant>
        <vt:i4>5</vt:i4>
      </vt:variant>
      <vt:variant>
        <vt:lpwstr/>
      </vt:variant>
      <vt:variant>
        <vt:lpwstr>_Toc161062602</vt:lpwstr>
      </vt:variant>
      <vt:variant>
        <vt:i4>1245232</vt:i4>
      </vt:variant>
      <vt:variant>
        <vt:i4>278</vt:i4>
      </vt:variant>
      <vt:variant>
        <vt:i4>0</vt:i4>
      </vt:variant>
      <vt:variant>
        <vt:i4>5</vt:i4>
      </vt:variant>
      <vt:variant>
        <vt:lpwstr/>
      </vt:variant>
      <vt:variant>
        <vt:lpwstr>_Toc161062601</vt:lpwstr>
      </vt:variant>
      <vt:variant>
        <vt:i4>1245232</vt:i4>
      </vt:variant>
      <vt:variant>
        <vt:i4>272</vt:i4>
      </vt:variant>
      <vt:variant>
        <vt:i4>0</vt:i4>
      </vt:variant>
      <vt:variant>
        <vt:i4>5</vt:i4>
      </vt:variant>
      <vt:variant>
        <vt:lpwstr/>
      </vt:variant>
      <vt:variant>
        <vt:lpwstr>_Toc161062600</vt:lpwstr>
      </vt:variant>
      <vt:variant>
        <vt:i4>1703987</vt:i4>
      </vt:variant>
      <vt:variant>
        <vt:i4>266</vt:i4>
      </vt:variant>
      <vt:variant>
        <vt:i4>0</vt:i4>
      </vt:variant>
      <vt:variant>
        <vt:i4>5</vt:i4>
      </vt:variant>
      <vt:variant>
        <vt:lpwstr/>
      </vt:variant>
      <vt:variant>
        <vt:lpwstr>_Toc161062599</vt:lpwstr>
      </vt:variant>
      <vt:variant>
        <vt:i4>1703987</vt:i4>
      </vt:variant>
      <vt:variant>
        <vt:i4>260</vt:i4>
      </vt:variant>
      <vt:variant>
        <vt:i4>0</vt:i4>
      </vt:variant>
      <vt:variant>
        <vt:i4>5</vt:i4>
      </vt:variant>
      <vt:variant>
        <vt:lpwstr/>
      </vt:variant>
      <vt:variant>
        <vt:lpwstr>_Toc161062598</vt:lpwstr>
      </vt:variant>
      <vt:variant>
        <vt:i4>1703987</vt:i4>
      </vt:variant>
      <vt:variant>
        <vt:i4>254</vt:i4>
      </vt:variant>
      <vt:variant>
        <vt:i4>0</vt:i4>
      </vt:variant>
      <vt:variant>
        <vt:i4>5</vt:i4>
      </vt:variant>
      <vt:variant>
        <vt:lpwstr/>
      </vt:variant>
      <vt:variant>
        <vt:lpwstr>_Toc161062597</vt:lpwstr>
      </vt:variant>
      <vt:variant>
        <vt:i4>1703987</vt:i4>
      </vt:variant>
      <vt:variant>
        <vt:i4>248</vt:i4>
      </vt:variant>
      <vt:variant>
        <vt:i4>0</vt:i4>
      </vt:variant>
      <vt:variant>
        <vt:i4>5</vt:i4>
      </vt:variant>
      <vt:variant>
        <vt:lpwstr/>
      </vt:variant>
      <vt:variant>
        <vt:lpwstr>_Toc161062596</vt:lpwstr>
      </vt:variant>
      <vt:variant>
        <vt:i4>1703987</vt:i4>
      </vt:variant>
      <vt:variant>
        <vt:i4>242</vt:i4>
      </vt:variant>
      <vt:variant>
        <vt:i4>0</vt:i4>
      </vt:variant>
      <vt:variant>
        <vt:i4>5</vt:i4>
      </vt:variant>
      <vt:variant>
        <vt:lpwstr/>
      </vt:variant>
      <vt:variant>
        <vt:lpwstr>_Toc161062595</vt:lpwstr>
      </vt:variant>
      <vt:variant>
        <vt:i4>1703987</vt:i4>
      </vt:variant>
      <vt:variant>
        <vt:i4>236</vt:i4>
      </vt:variant>
      <vt:variant>
        <vt:i4>0</vt:i4>
      </vt:variant>
      <vt:variant>
        <vt:i4>5</vt:i4>
      </vt:variant>
      <vt:variant>
        <vt:lpwstr/>
      </vt:variant>
      <vt:variant>
        <vt:lpwstr>_Toc161062594</vt:lpwstr>
      </vt:variant>
      <vt:variant>
        <vt:i4>1703987</vt:i4>
      </vt:variant>
      <vt:variant>
        <vt:i4>230</vt:i4>
      </vt:variant>
      <vt:variant>
        <vt:i4>0</vt:i4>
      </vt:variant>
      <vt:variant>
        <vt:i4>5</vt:i4>
      </vt:variant>
      <vt:variant>
        <vt:lpwstr/>
      </vt:variant>
      <vt:variant>
        <vt:lpwstr>_Toc161062593</vt:lpwstr>
      </vt:variant>
      <vt:variant>
        <vt:i4>1703987</vt:i4>
      </vt:variant>
      <vt:variant>
        <vt:i4>224</vt:i4>
      </vt:variant>
      <vt:variant>
        <vt:i4>0</vt:i4>
      </vt:variant>
      <vt:variant>
        <vt:i4>5</vt:i4>
      </vt:variant>
      <vt:variant>
        <vt:lpwstr/>
      </vt:variant>
      <vt:variant>
        <vt:lpwstr>_Toc161062592</vt:lpwstr>
      </vt:variant>
      <vt:variant>
        <vt:i4>1703987</vt:i4>
      </vt:variant>
      <vt:variant>
        <vt:i4>218</vt:i4>
      </vt:variant>
      <vt:variant>
        <vt:i4>0</vt:i4>
      </vt:variant>
      <vt:variant>
        <vt:i4>5</vt:i4>
      </vt:variant>
      <vt:variant>
        <vt:lpwstr/>
      </vt:variant>
      <vt:variant>
        <vt:lpwstr>_Toc161062591</vt:lpwstr>
      </vt:variant>
      <vt:variant>
        <vt:i4>1703987</vt:i4>
      </vt:variant>
      <vt:variant>
        <vt:i4>212</vt:i4>
      </vt:variant>
      <vt:variant>
        <vt:i4>0</vt:i4>
      </vt:variant>
      <vt:variant>
        <vt:i4>5</vt:i4>
      </vt:variant>
      <vt:variant>
        <vt:lpwstr/>
      </vt:variant>
      <vt:variant>
        <vt:lpwstr>_Toc161062590</vt:lpwstr>
      </vt:variant>
      <vt:variant>
        <vt:i4>1769523</vt:i4>
      </vt:variant>
      <vt:variant>
        <vt:i4>206</vt:i4>
      </vt:variant>
      <vt:variant>
        <vt:i4>0</vt:i4>
      </vt:variant>
      <vt:variant>
        <vt:i4>5</vt:i4>
      </vt:variant>
      <vt:variant>
        <vt:lpwstr/>
      </vt:variant>
      <vt:variant>
        <vt:lpwstr>_Toc161062589</vt:lpwstr>
      </vt:variant>
      <vt:variant>
        <vt:i4>1769523</vt:i4>
      </vt:variant>
      <vt:variant>
        <vt:i4>200</vt:i4>
      </vt:variant>
      <vt:variant>
        <vt:i4>0</vt:i4>
      </vt:variant>
      <vt:variant>
        <vt:i4>5</vt:i4>
      </vt:variant>
      <vt:variant>
        <vt:lpwstr/>
      </vt:variant>
      <vt:variant>
        <vt:lpwstr>_Toc161062588</vt:lpwstr>
      </vt:variant>
      <vt:variant>
        <vt:i4>1769523</vt:i4>
      </vt:variant>
      <vt:variant>
        <vt:i4>194</vt:i4>
      </vt:variant>
      <vt:variant>
        <vt:i4>0</vt:i4>
      </vt:variant>
      <vt:variant>
        <vt:i4>5</vt:i4>
      </vt:variant>
      <vt:variant>
        <vt:lpwstr/>
      </vt:variant>
      <vt:variant>
        <vt:lpwstr>_Toc161062587</vt:lpwstr>
      </vt:variant>
      <vt:variant>
        <vt:i4>1769523</vt:i4>
      </vt:variant>
      <vt:variant>
        <vt:i4>188</vt:i4>
      </vt:variant>
      <vt:variant>
        <vt:i4>0</vt:i4>
      </vt:variant>
      <vt:variant>
        <vt:i4>5</vt:i4>
      </vt:variant>
      <vt:variant>
        <vt:lpwstr/>
      </vt:variant>
      <vt:variant>
        <vt:lpwstr>_Toc161062586</vt:lpwstr>
      </vt:variant>
      <vt:variant>
        <vt:i4>1769523</vt:i4>
      </vt:variant>
      <vt:variant>
        <vt:i4>182</vt:i4>
      </vt:variant>
      <vt:variant>
        <vt:i4>0</vt:i4>
      </vt:variant>
      <vt:variant>
        <vt:i4>5</vt:i4>
      </vt:variant>
      <vt:variant>
        <vt:lpwstr/>
      </vt:variant>
      <vt:variant>
        <vt:lpwstr>_Toc161062585</vt:lpwstr>
      </vt:variant>
      <vt:variant>
        <vt:i4>1769523</vt:i4>
      </vt:variant>
      <vt:variant>
        <vt:i4>176</vt:i4>
      </vt:variant>
      <vt:variant>
        <vt:i4>0</vt:i4>
      </vt:variant>
      <vt:variant>
        <vt:i4>5</vt:i4>
      </vt:variant>
      <vt:variant>
        <vt:lpwstr/>
      </vt:variant>
      <vt:variant>
        <vt:lpwstr>_Toc161062584</vt:lpwstr>
      </vt:variant>
      <vt:variant>
        <vt:i4>1769523</vt:i4>
      </vt:variant>
      <vt:variant>
        <vt:i4>170</vt:i4>
      </vt:variant>
      <vt:variant>
        <vt:i4>0</vt:i4>
      </vt:variant>
      <vt:variant>
        <vt:i4>5</vt:i4>
      </vt:variant>
      <vt:variant>
        <vt:lpwstr/>
      </vt:variant>
      <vt:variant>
        <vt:lpwstr>_Toc161062583</vt:lpwstr>
      </vt:variant>
      <vt:variant>
        <vt:i4>1769523</vt:i4>
      </vt:variant>
      <vt:variant>
        <vt:i4>164</vt:i4>
      </vt:variant>
      <vt:variant>
        <vt:i4>0</vt:i4>
      </vt:variant>
      <vt:variant>
        <vt:i4>5</vt:i4>
      </vt:variant>
      <vt:variant>
        <vt:lpwstr/>
      </vt:variant>
      <vt:variant>
        <vt:lpwstr>_Toc161062582</vt:lpwstr>
      </vt:variant>
      <vt:variant>
        <vt:i4>1769523</vt:i4>
      </vt:variant>
      <vt:variant>
        <vt:i4>158</vt:i4>
      </vt:variant>
      <vt:variant>
        <vt:i4>0</vt:i4>
      </vt:variant>
      <vt:variant>
        <vt:i4>5</vt:i4>
      </vt:variant>
      <vt:variant>
        <vt:lpwstr/>
      </vt:variant>
      <vt:variant>
        <vt:lpwstr>_Toc161062581</vt:lpwstr>
      </vt:variant>
      <vt:variant>
        <vt:i4>1769523</vt:i4>
      </vt:variant>
      <vt:variant>
        <vt:i4>152</vt:i4>
      </vt:variant>
      <vt:variant>
        <vt:i4>0</vt:i4>
      </vt:variant>
      <vt:variant>
        <vt:i4>5</vt:i4>
      </vt:variant>
      <vt:variant>
        <vt:lpwstr/>
      </vt:variant>
      <vt:variant>
        <vt:lpwstr>_Toc161062580</vt:lpwstr>
      </vt:variant>
      <vt:variant>
        <vt:i4>1310771</vt:i4>
      </vt:variant>
      <vt:variant>
        <vt:i4>146</vt:i4>
      </vt:variant>
      <vt:variant>
        <vt:i4>0</vt:i4>
      </vt:variant>
      <vt:variant>
        <vt:i4>5</vt:i4>
      </vt:variant>
      <vt:variant>
        <vt:lpwstr/>
      </vt:variant>
      <vt:variant>
        <vt:lpwstr>_Toc161062579</vt:lpwstr>
      </vt:variant>
      <vt:variant>
        <vt:i4>1310771</vt:i4>
      </vt:variant>
      <vt:variant>
        <vt:i4>140</vt:i4>
      </vt:variant>
      <vt:variant>
        <vt:i4>0</vt:i4>
      </vt:variant>
      <vt:variant>
        <vt:i4>5</vt:i4>
      </vt:variant>
      <vt:variant>
        <vt:lpwstr/>
      </vt:variant>
      <vt:variant>
        <vt:lpwstr>_Toc161062578</vt:lpwstr>
      </vt:variant>
      <vt:variant>
        <vt:i4>1310771</vt:i4>
      </vt:variant>
      <vt:variant>
        <vt:i4>134</vt:i4>
      </vt:variant>
      <vt:variant>
        <vt:i4>0</vt:i4>
      </vt:variant>
      <vt:variant>
        <vt:i4>5</vt:i4>
      </vt:variant>
      <vt:variant>
        <vt:lpwstr/>
      </vt:variant>
      <vt:variant>
        <vt:lpwstr>_Toc161062577</vt:lpwstr>
      </vt:variant>
      <vt:variant>
        <vt:i4>1310771</vt:i4>
      </vt:variant>
      <vt:variant>
        <vt:i4>128</vt:i4>
      </vt:variant>
      <vt:variant>
        <vt:i4>0</vt:i4>
      </vt:variant>
      <vt:variant>
        <vt:i4>5</vt:i4>
      </vt:variant>
      <vt:variant>
        <vt:lpwstr/>
      </vt:variant>
      <vt:variant>
        <vt:lpwstr>_Toc161062576</vt:lpwstr>
      </vt:variant>
      <vt:variant>
        <vt:i4>1310771</vt:i4>
      </vt:variant>
      <vt:variant>
        <vt:i4>122</vt:i4>
      </vt:variant>
      <vt:variant>
        <vt:i4>0</vt:i4>
      </vt:variant>
      <vt:variant>
        <vt:i4>5</vt:i4>
      </vt:variant>
      <vt:variant>
        <vt:lpwstr/>
      </vt:variant>
      <vt:variant>
        <vt:lpwstr>_Toc161062575</vt:lpwstr>
      </vt:variant>
      <vt:variant>
        <vt:i4>1310771</vt:i4>
      </vt:variant>
      <vt:variant>
        <vt:i4>116</vt:i4>
      </vt:variant>
      <vt:variant>
        <vt:i4>0</vt:i4>
      </vt:variant>
      <vt:variant>
        <vt:i4>5</vt:i4>
      </vt:variant>
      <vt:variant>
        <vt:lpwstr/>
      </vt:variant>
      <vt:variant>
        <vt:lpwstr>_Toc161062574</vt:lpwstr>
      </vt:variant>
      <vt:variant>
        <vt:i4>1310771</vt:i4>
      </vt:variant>
      <vt:variant>
        <vt:i4>110</vt:i4>
      </vt:variant>
      <vt:variant>
        <vt:i4>0</vt:i4>
      </vt:variant>
      <vt:variant>
        <vt:i4>5</vt:i4>
      </vt:variant>
      <vt:variant>
        <vt:lpwstr/>
      </vt:variant>
      <vt:variant>
        <vt:lpwstr>_Toc161062573</vt:lpwstr>
      </vt:variant>
      <vt:variant>
        <vt:i4>1310771</vt:i4>
      </vt:variant>
      <vt:variant>
        <vt:i4>104</vt:i4>
      </vt:variant>
      <vt:variant>
        <vt:i4>0</vt:i4>
      </vt:variant>
      <vt:variant>
        <vt:i4>5</vt:i4>
      </vt:variant>
      <vt:variant>
        <vt:lpwstr/>
      </vt:variant>
      <vt:variant>
        <vt:lpwstr>_Toc161062572</vt:lpwstr>
      </vt:variant>
      <vt:variant>
        <vt:i4>1310771</vt:i4>
      </vt:variant>
      <vt:variant>
        <vt:i4>98</vt:i4>
      </vt:variant>
      <vt:variant>
        <vt:i4>0</vt:i4>
      </vt:variant>
      <vt:variant>
        <vt:i4>5</vt:i4>
      </vt:variant>
      <vt:variant>
        <vt:lpwstr/>
      </vt:variant>
      <vt:variant>
        <vt:lpwstr>_Toc161062571</vt:lpwstr>
      </vt:variant>
      <vt:variant>
        <vt:i4>1310771</vt:i4>
      </vt:variant>
      <vt:variant>
        <vt:i4>92</vt:i4>
      </vt:variant>
      <vt:variant>
        <vt:i4>0</vt:i4>
      </vt:variant>
      <vt:variant>
        <vt:i4>5</vt:i4>
      </vt:variant>
      <vt:variant>
        <vt:lpwstr/>
      </vt:variant>
      <vt:variant>
        <vt:lpwstr>_Toc161062570</vt:lpwstr>
      </vt:variant>
      <vt:variant>
        <vt:i4>1376307</vt:i4>
      </vt:variant>
      <vt:variant>
        <vt:i4>86</vt:i4>
      </vt:variant>
      <vt:variant>
        <vt:i4>0</vt:i4>
      </vt:variant>
      <vt:variant>
        <vt:i4>5</vt:i4>
      </vt:variant>
      <vt:variant>
        <vt:lpwstr/>
      </vt:variant>
      <vt:variant>
        <vt:lpwstr>_Toc161062569</vt:lpwstr>
      </vt:variant>
      <vt:variant>
        <vt:i4>1376307</vt:i4>
      </vt:variant>
      <vt:variant>
        <vt:i4>80</vt:i4>
      </vt:variant>
      <vt:variant>
        <vt:i4>0</vt:i4>
      </vt:variant>
      <vt:variant>
        <vt:i4>5</vt:i4>
      </vt:variant>
      <vt:variant>
        <vt:lpwstr/>
      </vt:variant>
      <vt:variant>
        <vt:lpwstr>_Toc161062568</vt:lpwstr>
      </vt:variant>
      <vt:variant>
        <vt:i4>1376307</vt:i4>
      </vt:variant>
      <vt:variant>
        <vt:i4>74</vt:i4>
      </vt:variant>
      <vt:variant>
        <vt:i4>0</vt:i4>
      </vt:variant>
      <vt:variant>
        <vt:i4>5</vt:i4>
      </vt:variant>
      <vt:variant>
        <vt:lpwstr/>
      </vt:variant>
      <vt:variant>
        <vt:lpwstr>_Toc161062567</vt:lpwstr>
      </vt:variant>
      <vt:variant>
        <vt:i4>1376307</vt:i4>
      </vt:variant>
      <vt:variant>
        <vt:i4>68</vt:i4>
      </vt:variant>
      <vt:variant>
        <vt:i4>0</vt:i4>
      </vt:variant>
      <vt:variant>
        <vt:i4>5</vt:i4>
      </vt:variant>
      <vt:variant>
        <vt:lpwstr/>
      </vt:variant>
      <vt:variant>
        <vt:lpwstr>_Toc161062566</vt:lpwstr>
      </vt:variant>
      <vt:variant>
        <vt:i4>1376307</vt:i4>
      </vt:variant>
      <vt:variant>
        <vt:i4>62</vt:i4>
      </vt:variant>
      <vt:variant>
        <vt:i4>0</vt:i4>
      </vt:variant>
      <vt:variant>
        <vt:i4>5</vt:i4>
      </vt:variant>
      <vt:variant>
        <vt:lpwstr/>
      </vt:variant>
      <vt:variant>
        <vt:lpwstr>_Toc161062565</vt:lpwstr>
      </vt:variant>
      <vt:variant>
        <vt:i4>1376307</vt:i4>
      </vt:variant>
      <vt:variant>
        <vt:i4>56</vt:i4>
      </vt:variant>
      <vt:variant>
        <vt:i4>0</vt:i4>
      </vt:variant>
      <vt:variant>
        <vt:i4>5</vt:i4>
      </vt:variant>
      <vt:variant>
        <vt:lpwstr/>
      </vt:variant>
      <vt:variant>
        <vt:lpwstr>_Toc161062564</vt:lpwstr>
      </vt:variant>
      <vt:variant>
        <vt:i4>1376307</vt:i4>
      </vt:variant>
      <vt:variant>
        <vt:i4>50</vt:i4>
      </vt:variant>
      <vt:variant>
        <vt:i4>0</vt:i4>
      </vt:variant>
      <vt:variant>
        <vt:i4>5</vt:i4>
      </vt:variant>
      <vt:variant>
        <vt:lpwstr/>
      </vt:variant>
      <vt:variant>
        <vt:lpwstr>_Toc161062563</vt:lpwstr>
      </vt:variant>
      <vt:variant>
        <vt:i4>1376307</vt:i4>
      </vt:variant>
      <vt:variant>
        <vt:i4>44</vt:i4>
      </vt:variant>
      <vt:variant>
        <vt:i4>0</vt:i4>
      </vt:variant>
      <vt:variant>
        <vt:i4>5</vt:i4>
      </vt:variant>
      <vt:variant>
        <vt:lpwstr/>
      </vt:variant>
      <vt:variant>
        <vt:lpwstr>_Toc161062562</vt:lpwstr>
      </vt:variant>
      <vt:variant>
        <vt:i4>1376307</vt:i4>
      </vt:variant>
      <vt:variant>
        <vt:i4>38</vt:i4>
      </vt:variant>
      <vt:variant>
        <vt:i4>0</vt:i4>
      </vt:variant>
      <vt:variant>
        <vt:i4>5</vt:i4>
      </vt:variant>
      <vt:variant>
        <vt:lpwstr/>
      </vt:variant>
      <vt:variant>
        <vt:lpwstr>_Toc161062561</vt:lpwstr>
      </vt:variant>
      <vt:variant>
        <vt:i4>1376307</vt:i4>
      </vt:variant>
      <vt:variant>
        <vt:i4>32</vt:i4>
      </vt:variant>
      <vt:variant>
        <vt:i4>0</vt:i4>
      </vt:variant>
      <vt:variant>
        <vt:i4>5</vt:i4>
      </vt:variant>
      <vt:variant>
        <vt:lpwstr/>
      </vt:variant>
      <vt:variant>
        <vt:lpwstr>_Toc161062560</vt:lpwstr>
      </vt:variant>
      <vt:variant>
        <vt:i4>1441843</vt:i4>
      </vt:variant>
      <vt:variant>
        <vt:i4>26</vt:i4>
      </vt:variant>
      <vt:variant>
        <vt:i4>0</vt:i4>
      </vt:variant>
      <vt:variant>
        <vt:i4>5</vt:i4>
      </vt:variant>
      <vt:variant>
        <vt:lpwstr/>
      </vt:variant>
      <vt:variant>
        <vt:lpwstr>_Toc161062559</vt:lpwstr>
      </vt:variant>
      <vt:variant>
        <vt:i4>1441843</vt:i4>
      </vt:variant>
      <vt:variant>
        <vt:i4>20</vt:i4>
      </vt:variant>
      <vt:variant>
        <vt:i4>0</vt:i4>
      </vt:variant>
      <vt:variant>
        <vt:i4>5</vt:i4>
      </vt:variant>
      <vt:variant>
        <vt:lpwstr/>
      </vt:variant>
      <vt:variant>
        <vt:lpwstr>_Toc161062558</vt:lpwstr>
      </vt:variant>
      <vt:variant>
        <vt:i4>1441843</vt:i4>
      </vt:variant>
      <vt:variant>
        <vt:i4>14</vt:i4>
      </vt:variant>
      <vt:variant>
        <vt:i4>0</vt:i4>
      </vt:variant>
      <vt:variant>
        <vt:i4>5</vt:i4>
      </vt:variant>
      <vt:variant>
        <vt:lpwstr/>
      </vt:variant>
      <vt:variant>
        <vt:lpwstr>_Toc161062557</vt:lpwstr>
      </vt:variant>
      <vt:variant>
        <vt:i4>1441843</vt:i4>
      </vt:variant>
      <vt:variant>
        <vt:i4>8</vt:i4>
      </vt:variant>
      <vt:variant>
        <vt:i4>0</vt:i4>
      </vt:variant>
      <vt:variant>
        <vt:i4>5</vt:i4>
      </vt:variant>
      <vt:variant>
        <vt:lpwstr/>
      </vt:variant>
      <vt:variant>
        <vt:lpwstr>_Toc161062556</vt:lpwstr>
      </vt:variant>
      <vt:variant>
        <vt:i4>1441843</vt:i4>
      </vt:variant>
      <vt:variant>
        <vt:i4>2</vt:i4>
      </vt:variant>
      <vt:variant>
        <vt:i4>0</vt:i4>
      </vt:variant>
      <vt:variant>
        <vt:i4>5</vt:i4>
      </vt:variant>
      <vt:variant>
        <vt:lpwstr/>
      </vt:variant>
      <vt:variant>
        <vt:lpwstr>_Toc161062555</vt:lpwstr>
      </vt:variant>
      <vt:variant>
        <vt:i4>65600</vt:i4>
      </vt:variant>
      <vt:variant>
        <vt:i4>45</vt:i4>
      </vt:variant>
      <vt:variant>
        <vt:i4>0</vt:i4>
      </vt:variant>
      <vt:variant>
        <vt:i4>5</vt:i4>
      </vt:variant>
      <vt:variant>
        <vt:lpwstr>https://ec.europa.eu/social/BlobServlet?docId=24081&amp;langId=en</vt:lpwstr>
      </vt:variant>
      <vt:variant>
        <vt:lpwstr>:~:text=The%202021%20Long-term%20care%20report%2C%20jointly%20prepared%20by,care%20provision%20and%20key%20challenges%20across%20the%20EU</vt:lpwstr>
      </vt:variant>
      <vt:variant>
        <vt:i4>5374017</vt:i4>
      </vt:variant>
      <vt:variant>
        <vt:i4>42</vt:i4>
      </vt:variant>
      <vt:variant>
        <vt:i4>0</vt:i4>
      </vt:variant>
      <vt:variant>
        <vt:i4>5</vt:i4>
      </vt:variant>
      <vt:variant>
        <vt:lpwstr>https://www.campaigntoendloneliness.org/disability-and-loneliness/</vt:lpwstr>
      </vt:variant>
      <vt:variant>
        <vt:lpwstr>:~:text=People%20with%20disabilities%20have%20been,with%20no%20disability%20(6%25)</vt:lpwstr>
      </vt:variant>
      <vt:variant>
        <vt:i4>5374017</vt:i4>
      </vt:variant>
      <vt:variant>
        <vt:i4>39</vt:i4>
      </vt:variant>
      <vt:variant>
        <vt:i4>0</vt:i4>
      </vt:variant>
      <vt:variant>
        <vt:i4>5</vt:i4>
      </vt:variant>
      <vt:variant>
        <vt:lpwstr>https://www.campaigntoendloneliness.org/disability-and-loneliness/</vt:lpwstr>
      </vt:variant>
      <vt:variant>
        <vt:lpwstr>:~:text=People%20with%20disabilities%20have%20been,with%20no%20disability%20(6%25)</vt:lpwstr>
      </vt:variant>
      <vt:variant>
        <vt:i4>2949164</vt:i4>
      </vt:variant>
      <vt:variant>
        <vt:i4>36</vt:i4>
      </vt:variant>
      <vt:variant>
        <vt:i4>0</vt:i4>
      </vt:variant>
      <vt:variant>
        <vt:i4>5</vt:i4>
      </vt:variant>
      <vt:variant>
        <vt:lpwstr>http://www.inclusion-europe.eu/empowerment-of-people-with-complex-support-needs-report/</vt:lpwstr>
      </vt:variant>
      <vt:variant>
        <vt:lpwstr/>
      </vt:variant>
      <vt:variant>
        <vt:i4>983122</vt:i4>
      </vt:variant>
      <vt:variant>
        <vt:i4>33</vt:i4>
      </vt:variant>
      <vt:variant>
        <vt:i4>0</vt:i4>
      </vt:variant>
      <vt:variant>
        <vt:i4>5</vt:i4>
      </vt:variant>
      <vt:variant>
        <vt:lpwstr>https://www.oecd.org/publications/a-crisis-on-the-horizon-306e6993-en.htm</vt:lpwstr>
      </vt:variant>
      <vt:variant>
        <vt:lpwstr/>
      </vt:variant>
      <vt:variant>
        <vt:i4>5046293</vt:i4>
      </vt:variant>
      <vt:variant>
        <vt:i4>30</vt:i4>
      </vt:variant>
      <vt:variant>
        <vt:i4>0</vt:i4>
      </vt:variant>
      <vt:variant>
        <vt:i4>5</vt:i4>
      </vt:variant>
      <vt:variant>
        <vt:lpwstr>https://bettercarenetwork.org/library/particular-threats-to-childrens-care-and-protection/effects-of-institutional-care</vt:lpwstr>
      </vt:variant>
      <vt:variant>
        <vt:lpwstr>:~:text=Common%20issues%20for%20children%20in,isolated%20from%20their%20traditional%20communities.</vt:lpwstr>
      </vt:variant>
      <vt:variant>
        <vt:i4>5570626</vt:i4>
      </vt:variant>
      <vt:variant>
        <vt:i4>27</vt:i4>
      </vt:variant>
      <vt:variant>
        <vt:i4>0</vt:i4>
      </vt:variant>
      <vt:variant>
        <vt:i4>5</vt:i4>
      </vt:variant>
      <vt:variant>
        <vt:lpwstr>https://lumos.contentfiles.net/media/documents/document/2017/03/Factsheet_Lumos_Risks.pdf</vt:lpwstr>
      </vt:variant>
      <vt:variant>
        <vt:lpwstr/>
      </vt:variant>
      <vt:variant>
        <vt:i4>5505099</vt:i4>
      </vt:variant>
      <vt:variant>
        <vt:i4>24</vt:i4>
      </vt:variant>
      <vt:variant>
        <vt:i4>0</vt:i4>
      </vt:variant>
      <vt:variant>
        <vt:i4>5</vt:i4>
      </vt:variant>
      <vt:variant>
        <vt:lpwstr>https://www.ncbi.nlm.nih.gov/books/NBK373333/</vt:lpwstr>
      </vt:variant>
      <vt:variant>
        <vt:lpwstr>:~:text=Browne%27s%20findings%20showed%20that%20institutions,cognitive%20performance%20and%20language%20deficits.</vt:lpwstr>
      </vt:variant>
      <vt:variant>
        <vt:i4>5046293</vt:i4>
      </vt:variant>
      <vt:variant>
        <vt:i4>21</vt:i4>
      </vt:variant>
      <vt:variant>
        <vt:i4>0</vt:i4>
      </vt:variant>
      <vt:variant>
        <vt:i4>5</vt:i4>
      </vt:variant>
      <vt:variant>
        <vt:lpwstr>https://bettercarenetwork.org/library/particular-threats-to-childrens-care-and-protection/effects-of-institutional-care</vt:lpwstr>
      </vt:variant>
      <vt:variant>
        <vt:lpwstr>:~:text=Common%20issues%20for%20children%20in,isolated%20from%20their%20traditional%20communities.</vt:lpwstr>
      </vt:variant>
      <vt:variant>
        <vt:i4>3801214</vt:i4>
      </vt:variant>
      <vt:variant>
        <vt:i4>18</vt:i4>
      </vt:variant>
      <vt:variant>
        <vt:i4>0</vt:i4>
      </vt:variant>
      <vt:variant>
        <vt:i4>5</vt:i4>
      </vt:variant>
      <vt:variant>
        <vt:lpwstr>https://www.inclusion-europe.eu/violence-against-women-with-intellectual-disabilities/</vt:lpwstr>
      </vt:variant>
      <vt:variant>
        <vt:lpwstr/>
      </vt:variant>
      <vt:variant>
        <vt:i4>7733268</vt:i4>
      </vt:variant>
      <vt:variant>
        <vt:i4>15</vt:i4>
      </vt:variant>
      <vt:variant>
        <vt:i4>0</vt:i4>
      </vt:variant>
      <vt:variant>
        <vt:i4>5</vt:i4>
      </vt:variant>
      <vt:variant>
        <vt:lpwstr>https://www.edf-feph.org/content/uploads/2022/09/Final-Forced-Sterilisarion-Report-2022-European-Union-copia_compressed.pdf</vt:lpwstr>
      </vt:variant>
      <vt:variant>
        <vt:lpwstr/>
      </vt:variant>
      <vt:variant>
        <vt:i4>5570626</vt:i4>
      </vt:variant>
      <vt:variant>
        <vt:i4>12</vt:i4>
      </vt:variant>
      <vt:variant>
        <vt:i4>0</vt:i4>
      </vt:variant>
      <vt:variant>
        <vt:i4>5</vt:i4>
      </vt:variant>
      <vt:variant>
        <vt:lpwstr>https://lumos.contentfiles.net/media/documents/document/2017/03/Factsheet_Lumos_Risks.pdf</vt:lpwstr>
      </vt:variant>
      <vt:variant>
        <vt:lpwstr/>
      </vt:variant>
      <vt:variant>
        <vt:i4>5046293</vt:i4>
      </vt:variant>
      <vt:variant>
        <vt:i4>9</vt:i4>
      </vt:variant>
      <vt:variant>
        <vt:i4>0</vt:i4>
      </vt:variant>
      <vt:variant>
        <vt:i4>5</vt:i4>
      </vt:variant>
      <vt:variant>
        <vt:lpwstr>https://bettercarenetwork.org/library/particular-threats-to-childrens-care-and-protection/effects-of-institutional-care</vt:lpwstr>
      </vt:variant>
      <vt:variant>
        <vt:lpwstr>:~:text=Common%20issues%20for%20children%20in,isolated%20from%20their%20traditional%20communities.</vt:lpwstr>
      </vt:variant>
      <vt:variant>
        <vt:i4>5439490</vt:i4>
      </vt:variant>
      <vt:variant>
        <vt:i4>6</vt:i4>
      </vt:variant>
      <vt:variant>
        <vt:i4>0</vt:i4>
      </vt:variant>
      <vt:variant>
        <vt:i4>5</vt:i4>
      </vt:variant>
      <vt:variant>
        <vt:lpwstr>https://www.ohchr.org/en/documents/general-comments-and-recommendations/general-comment-no5-article-19-right-live</vt:lpwstr>
      </vt:variant>
      <vt:variant>
        <vt:lpwstr/>
      </vt:variant>
      <vt:variant>
        <vt:i4>2097186</vt:i4>
      </vt:variant>
      <vt:variant>
        <vt:i4>3</vt:i4>
      </vt:variant>
      <vt:variant>
        <vt:i4>0</vt:i4>
      </vt:variant>
      <vt:variant>
        <vt:i4>5</vt:i4>
      </vt:variant>
      <vt:variant>
        <vt:lpwstr>https://www.health-ni.gov.uk/publications/hsc-service-users-supported-housing-accommodation</vt:lpwstr>
      </vt:variant>
      <vt:variant>
        <vt:lpwstr/>
      </vt:variant>
      <vt:variant>
        <vt:i4>6488189</vt:i4>
      </vt:variant>
      <vt:variant>
        <vt:i4>0</vt:i4>
      </vt:variant>
      <vt:variant>
        <vt:i4>0</vt:i4>
      </vt:variant>
      <vt:variant>
        <vt:i4>5</vt:i4>
      </vt:variant>
      <vt:variant>
        <vt:lpwstr>http://www.inclusion.eu/indicators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Catherine Naughton</dc:creator>
  <cp:keywords/>
  <dc:description/>
  <cp:lastModifiedBy>Oneliner</cp:lastModifiedBy>
  <cp:revision>3</cp:revision>
  <cp:lastPrinted>1899-12-31T23:00:00Z</cp:lastPrinted>
  <dcterms:created xsi:type="dcterms:W3CDTF">2024-03-13T19:39:00Z</dcterms:created>
  <dcterms:modified xsi:type="dcterms:W3CDTF">2024-03-26T14:37:00Z</dcterms:modified>
</cp:coreProperties>
</file>