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9026"/>
      </w:tblGrid>
      <w:tr w:rsidR="0006126E" w:rsidRPr="002416D7" w14:paraId="3AEE3912" w14:textId="77777777">
        <w:tc>
          <w:tcPr>
            <w:tcW w:w="0" w:type="auto"/>
            <w:tcMar>
              <w:top w:w="135" w:type="dxa"/>
              <w:left w:w="0" w:type="dxa"/>
              <w:bottom w:w="0" w:type="dxa"/>
              <w:right w:w="0" w:type="dxa"/>
            </w:tcMar>
          </w:tcPr>
          <w:p w14:paraId="2FA18589" w14:textId="4FD83A67" w:rsidR="0006126E" w:rsidRDefault="002416D7">
            <w:pPr>
              <w:rPr>
                <w:sz w:val="22"/>
                <w:szCs w:val="22"/>
              </w:rPr>
            </w:pPr>
            <w:proofErr w:type="spellStart"/>
            <w:r w:rsidRPr="002416D7">
              <w:rPr>
                <w:sz w:val="22"/>
                <w:szCs w:val="22"/>
                <w:highlight w:val="yellow"/>
              </w:rPr>
              <w:t>Vertaald</w:t>
            </w:r>
            <w:proofErr w:type="spellEnd"/>
            <w:r w:rsidRPr="002416D7">
              <w:rPr>
                <w:sz w:val="22"/>
                <w:szCs w:val="22"/>
                <w:highlight w:val="yellow"/>
              </w:rPr>
              <w:t xml:space="preserve"> met DEEPL</w:t>
            </w:r>
            <w:r>
              <w:rPr>
                <w:sz w:val="22"/>
                <w:szCs w:val="22"/>
              </w:rPr>
              <w:t xml:space="preserve"> </w:t>
            </w:r>
          </w:p>
          <w:tbl>
            <w:tblPr>
              <w:tblpPr w:vertAnchor="text"/>
              <w:tblW w:w="5000" w:type="pct"/>
              <w:tblCellMar>
                <w:left w:w="0" w:type="dxa"/>
                <w:right w:w="0" w:type="dxa"/>
              </w:tblCellMar>
              <w:tblLook w:val="04A0" w:firstRow="1" w:lastRow="0" w:firstColumn="1" w:lastColumn="0" w:noHBand="0" w:noVBand="1"/>
            </w:tblPr>
            <w:tblGrid>
              <w:gridCol w:w="9026"/>
            </w:tblGrid>
            <w:tr w:rsidR="0006126E" w:rsidRPr="002416D7" w14:paraId="26901330" w14:textId="77777777">
              <w:tc>
                <w:tcPr>
                  <w:tcW w:w="9000" w:type="dxa"/>
                </w:tcPr>
                <w:p w14:paraId="628C935D" w14:textId="77777777" w:rsidR="0006126E" w:rsidRDefault="0006126E">
                  <w:pPr>
                    <w:rPr>
                      <w:sz w:val="22"/>
                      <w:szCs w:val="22"/>
                    </w:rPr>
                  </w:pPr>
                </w:p>
                <w:tbl>
                  <w:tblPr>
                    <w:tblpPr w:vertAnchor="text"/>
                    <w:tblW w:w="5000" w:type="pct"/>
                    <w:tblCellMar>
                      <w:left w:w="0" w:type="dxa"/>
                      <w:right w:w="0" w:type="dxa"/>
                    </w:tblCellMar>
                    <w:tblLook w:val="04A0" w:firstRow="1" w:lastRow="0" w:firstColumn="1" w:lastColumn="0" w:noHBand="0" w:noVBand="1"/>
                  </w:tblPr>
                  <w:tblGrid>
                    <w:gridCol w:w="9026"/>
                  </w:tblGrid>
                  <w:tr w:rsidR="0006126E" w:rsidRPr="002416D7" w14:paraId="43DB78F4" w14:textId="77777777">
                    <w:tc>
                      <w:tcPr>
                        <w:tcW w:w="0" w:type="auto"/>
                        <w:tcMar>
                          <w:top w:w="0" w:type="dxa"/>
                          <w:left w:w="270" w:type="dxa"/>
                          <w:bottom w:w="135" w:type="dxa"/>
                          <w:right w:w="270" w:type="dxa"/>
                        </w:tcMar>
                        <w:hideMark/>
                      </w:tcPr>
                      <w:p w14:paraId="45FE3246" w14:textId="77777777" w:rsidR="0006126E" w:rsidRPr="002416D7" w:rsidRDefault="0006126E">
                        <w:pPr>
                          <w:spacing w:line="300" w:lineRule="auto"/>
                          <w:rPr>
                            <w:rFonts w:ascii="Helvetica" w:hAnsi="Helvetica" w:cs="Helvetica"/>
                            <w:b/>
                            <w:bCs/>
                            <w:color w:val="0477B3"/>
                            <w:sz w:val="27"/>
                            <w:szCs w:val="27"/>
                            <w:lang w:val="nl-BE"/>
                          </w:rPr>
                        </w:pPr>
                        <w:r w:rsidRPr="002416D7">
                          <w:rPr>
                            <w:rFonts w:ascii="Helvetica" w:hAnsi="Helvetica" w:cs="Helvetica"/>
                            <w:b/>
                            <w:bCs/>
                            <w:color w:val="0477B3"/>
                            <w:sz w:val="27"/>
                            <w:szCs w:val="27"/>
                            <w:lang w:val="nl-BE"/>
                          </w:rPr>
                          <w:t>De herziening van de EU-strategie voor de rechten van personen met een handicap mist de ambitie om onze rechten te bevorderen</w:t>
                        </w:r>
                      </w:p>
                    </w:tc>
                  </w:tr>
                </w:tbl>
                <w:p w14:paraId="55BBF418" w14:textId="77777777" w:rsidR="0006126E" w:rsidRPr="002416D7" w:rsidRDefault="0006126E">
                  <w:pPr>
                    <w:rPr>
                      <w:rFonts w:eastAsia="Times New Roman"/>
                      <w:lang w:val="nl-BE"/>
                    </w:rPr>
                  </w:pPr>
                </w:p>
              </w:tc>
            </w:tr>
          </w:tbl>
          <w:p w14:paraId="003CE372" w14:textId="77777777" w:rsidR="0006126E" w:rsidRPr="002416D7" w:rsidRDefault="0006126E">
            <w:pPr>
              <w:rPr>
                <w:rFonts w:eastAsia="Times New Roman"/>
                <w:lang w:val="nl-BE"/>
              </w:rPr>
            </w:pPr>
          </w:p>
        </w:tc>
      </w:tr>
    </w:tbl>
    <w:p w14:paraId="60104B45" w14:textId="77777777" w:rsidR="0006126E" w:rsidRPr="002416D7" w:rsidRDefault="0006126E" w:rsidP="0006126E">
      <w:pPr>
        <w:rPr>
          <w:lang w:val="nl-BE"/>
        </w:rPr>
      </w:pPr>
    </w:p>
    <w:tbl>
      <w:tblPr>
        <w:tblW w:w="5000" w:type="pct"/>
        <w:tblCellMar>
          <w:left w:w="0" w:type="dxa"/>
          <w:right w:w="0" w:type="dxa"/>
        </w:tblCellMar>
        <w:tblLook w:val="04A0" w:firstRow="1" w:lastRow="0" w:firstColumn="1" w:lastColumn="0" w:noHBand="0" w:noVBand="1"/>
      </w:tblPr>
      <w:tblGrid>
        <w:gridCol w:w="9026"/>
      </w:tblGrid>
      <w:tr w:rsidR="0006126E" w:rsidRPr="002416D7" w14:paraId="4C9ECD6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06126E" w:rsidRPr="002416D7" w14:paraId="70B5C96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06126E" w:rsidRPr="002416D7" w14:paraId="4DB1FFC5" w14:textId="77777777">
                    <w:tc>
                      <w:tcPr>
                        <w:tcW w:w="0" w:type="auto"/>
                        <w:tcMar>
                          <w:top w:w="0" w:type="dxa"/>
                          <w:left w:w="270" w:type="dxa"/>
                          <w:bottom w:w="135" w:type="dxa"/>
                          <w:right w:w="270" w:type="dxa"/>
                        </w:tcMar>
                        <w:hideMark/>
                      </w:tcPr>
                      <w:p w14:paraId="6C247539" w14:textId="77777777" w:rsidR="0006126E" w:rsidRPr="002416D7" w:rsidRDefault="0006126E">
                        <w:pPr>
                          <w:spacing w:line="300" w:lineRule="auto"/>
                          <w:rPr>
                            <w:rFonts w:ascii="Helvetica" w:hAnsi="Helvetica" w:cs="Helvetica"/>
                            <w:b/>
                            <w:bCs/>
                            <w:color w:val="E22B21"/>
                            <w:lang w:val="nl-BE"/>
                          </w:rPr>
                        </w:pPr>
                        <w:r w:rsidRPr="002416D7">
                          <w:rPr>
                            <w:rFonts w:ascii="Helvetica" w:hAnsi="Helvetica" w:cs="Helvetica"/>
                            <w:b/>
                            <w:bCs/>
                            <w:color w:val="B22222"/>
                            <w:lang w:val="nl-BE"/>
                          </w:rPr>
                          <w:t>De strategie bevat geen nieuwe wetgevingsinitiatieven en laat veel eisen van de gehandicaptenbeweging buiten beschouwing.</w:t>
                        </w:r>
                        <w:r w:rsidRPr="002416D7">
                          <w:rPr>
                            <w:rFonts w:ascii="Helvetica" w:hAnsi="Helvetica" w:cs="Helvetica"/>
                            <w:b/>
                            <w:bCs/>
                            <w:color w:val="E22B21"/>
                            <w:lang w:val="nl-BE"/>
                          </w:rPr>
                          <w:br/>
                          <w:t xml:space="preserve"> </w:t>
                        </w:r>
                      </w:p>
                    </w:tc>
                  </w:tr>
                </w:tbl>
                <w:p w14:paraId="40AE1058" w14:textId="77777777" w:rsidR="0006126E" w:rsidRPr="002416D7" w:rsidRDefault="0006126E">
                  <w:pPr>
                    <w:rPr>
                      <w:rFonts w:ascii="Times New Roman" w:eastAsia="Times New Roman" w:hAnsi="Times New Roman" w:cs="Times New Roman"/>
                      <w:sz w:val="20"/>
                      <w:szCs w:val="20"/>
                      <w:lang w:val="nl-BE"/>
                    </w:rPr>
                  </w:pPr>
                </w:p>
              </w:tc>
            </w:tr>
          </w:tbl>
          <w:p w14:paraId="08FC2832" w14:textId="77777777" w:rsidR="0006126E" w:rsidRPr="002416D7" w:rsidRDefault="0006126E">
            <w:pPr>
              <w:rPr>
                <w:rFonts w:ascii="Times New Roman" w:eastAsia="Times New Roman" w:hAnsi="Times New Roman" w:cs="Times New Roman"/>
                <w:sz w:val="20"/>
                <w:szCs w:val="20"/>
                <w:lang w:val="nl-BE"/>
              </w:rPr>
            </w:pPr>
          </w:p>
        </w:tc>
      </w:tr>
    </w:tbl>
    <w:p w14:paraId="033B781D" w14:textId="77777777" w:rsidR="0006126E" w:rsidRPr="002416D7" w:rsidRDefault="0006126E" w:rsidP="0006126E">
      <w:pPr>
        <w:rPr>
          <w:lang w:val="nl-BE"/>
        </w:rPr>
      </w:pPr>
    </w:p>
    <w:tbl>
      <w:tblPr>
        <w:tblW w:w="5000" w:type="pct"/>
        <w:tblCellMar>
          <w:left w:w="0" w:type="dxa"/>
          <w:right w:w="0" w:type="dxa"/>
        </w:tblCellMar>
        <w:tblLook w:val="04A0" w:firstRow="1" w:lastRow="0" w:firstColumn="1" w:lastColumn="0" w:noHBand="0" w:noVBand="1"/>
      </w:tblPr>
      <w:tblGrid>
        <w:gridCol w:w="9026"/>
      </w:tblGrid>
      <w:tr w:rsidR="0006126E" w:rsidRPr="002416D7" w14:paraId="793FC17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06126E" w:rsidRPr="002416D7" w14:paraId="482B655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06126E" w:rsidRPr="002416D7" w14:paraId="3B43B232" w14:textId="77777777">
                    <w:tc>
                      <w:tcPr>
                        <w:tcW w:w="0" w:type="auto"/>
                        <w:tcMar>
                          <w:top w:w="0" w:type="dxa"/>
                          <w:left w:w="270" w:type="dxa"/>
                          <w:bottom w:w="135" w:type="dxa"/>
                          <w:right w:w="270" w:type="dxa"/>
                        </w:tcMar>
                        <w:hideMark/>
                      </w:tcPr>
                      <w:p w14:paraId="1B7B95C7" w14:textId="77777777" w:rsidR="0006126E" w:rsidRPr="002416D7" w:rsidRDefault="0006126E">
                        <w:pPr>
                          <w:spacing w:line="360" w:lineRule="auto"/>
                          <w:rPr>
                            <w:rFonts w:ascii="Helvetica" w:hAnsi="Helvetica" w:cs="Helvetica"/>
                            <w:color w:val="222222"/>
                            <w:sz w:val="23"/>
                            <w:szCs w:val="23"/>
                            <w:lang w:val="nl-BE"/>
                          </w:rPr>
                        </w:pPr>
                        <w:r w:rsidRPr="002416D7">
                          <w:rPr>
                            <w:rFonts w:ascii="Helvetica" w:hAnsi="Helvetica" w:cs="Helvetica"/>
                            <w:color w:val="222222"/>
                            <w:sz w:val="23"/>
                            <w:szCs w:val="23"/>
                            <w:lang w:val="nl-BE"/>
                          </w:rPr>
                          <w:t xml:space="preserve">De </w:t>
                        </w:r>
                        <w:hyperlink r:id="rId5" w:tgtFrame="_blank" w:history="1">
                          <w:r w:rsidRPr="002416D7">
                            <w:rPr>
                              <w:rStyle w:val="Lienhypertexte"/>
                              <w:rFonts w:ascii="Helvetica" w:hAnsi="Helvetica" w:cs="Helvetica"/>
                              <w:color w:val="0000CD"/>
                              <w:sz w:val="23"/>
                              <w:szCs w:val="23"/>
                              <w:lang w:val="nl-BE"/>
                            </w:rPr>
                            <w:t>'versterkte' strategie voor de rechten van personen met een handicap</w:t>
                          </w:r>
                        </w:hyperlink>
                        <w:r w:rsidRPr="002416D7">
                          <w:rPr>
                            <w:rFonts w:ascii="Helvetica" w:hAnsi="Helvetica" w:cs="Helvetica"/>
                            <w:color w:val="0000CD"/>
                            <w:sz w:val="23"/>
                            <w:szCs w:val="23"/>
                            <w:lang w:val="nl-BE"/>
                          </w:rPr>
                          <w:t xml:space="preserve">, </w:t>
                        </w:r>
                        <w:r w:rsidRPr="002416D7">
                          <w:rPr>
                            <w:rFonts w:ascii="Helvetica" w:hAnsi="Helvetica" w:cs="Helvetica"/>
                            <w:color w:val="222222"/>
                            <w:sz w:val="23"/>
                            <w:szCs w:val="23"/>
                            <w:lang w:val="nl-BE"/>
                          </w:rPr>
                          <w:t>die vandaag door de Europese Commissie is gepresenteerd, voldoet niet aan onze eisen en aan de verplichting van de Europese Unie om het VN-Verdrag inzake de rechten van personen met een handicap ten uitvoer te leggen.</w:t>
                        </w:r>
                        <w:r w:rsidRPr="002416D7">
                          <w:rPr>
                            <w:rFonts w:ascii="Helvetica" w:hAnsi="Helvetica" w:cs="Helvetica"/>
                            <w:color w:val="222222"/>
                            <w:sz w:val="23"/>
                            <w:szCs w:val="23"/>
                            <w:lang w:val="nl-BE"/>
                          </w:rPr>
                          <w:br/>
                        </w:r>
                        <w:r w:rsidRPr="002416D7">
                          <w:rPr>
                            <w:rFonts w:ascii="Helvetica" w:hAnsi="Helvetica" w:cs="Helvetica"/>
                            <w:color w:val="222222"/>
                            <w:sz w:val="23"/>
                            <w:szCs w:val="23"/>
                            <w:lang w:val="nl-BE"/>
                          </w:rPr>
                          <w:br/>
                          <w:t xml:space="preserve">Hoewel de strategie enkele waardevolle voorstellen bevat en belangrijke uitdagingen identificeert, is geen van </w:t>
                        </w:r>
                        <w:hyperlink r:id="rId6" w:tgtFrame="_blank" w:history="1">
                          <w:r w:rsidRPr="002416D7">
                            <w:rPr>
                              <w:rStyle w:val="Lienhypertexte"/>
                              <w:rFonts w:ascii="Helvetica" w:hAnsi="Helvetica" w:cs="Helvetica"/>
                              <w:color w:val="0000CD"/>
                              <w:sz w:val="23"/>
                              <w:szCs w:val="23"/>
                              <w:lang w:val="nl-BE"/>
                            </w:rPr>
                            <w:t>onze voorgestelde vlaggenschipinitiatieven</w:t>
                          </w:r>
                        </w:hyperlink>
                        <w:r w:rsidRPr="002416D7">
                          <w:rPr>
                            <w:rFonts w:ascii="Helvetica" w:hAnsi="Helvetica" w:cs="Helvetica"/>
                            <w:color w:val="222222"/>
                            <w:sz w:val="23"/>
                            <w:szCs w:val="23"/>
                            <w:lang w:val="nl-BE"/>
                          </w:rPr>
                          <w:t xml:space="preserve"> opgenomen. De strategie richt zich meer op studies, voorbereidend werk en </w:t>
                        </w:r>
                        <w:proofErr w:type="gramStart"/>
                        <w:r w:rsidRPr="002416D7">
                          <w:rPr>
                            <w:rFonts w:ascii="Helvetica" w:hAnsi="Helvetica" w:cs="Helvetica"/>
                            <w:color w:val="222222"/>
                            <w:sz w:val="23"/>
                            <w:szCs w:val="23"/>
                            <w:lang w:val="nl-BE"/>
                          </w:rPr>
                          <w:t>reeds</w:t>
                        </w:r>
                        <w:proofErr w:type="gramEnd"/>
                        <w:r w:rsidRPr="002416D7">
                          <w:rPr>
                            <w:rFonts w:ascii="Helvetica" w:hAnsi="Helvetica" w:cs="Helvetica"/>
                            <w:color w:val="222222"/>
                            <w:sz w:val="23"/>
                            <w:szCs w:val="23"/>
                            <w:lang w:val="nl-BE"/>
                          </w:rPr>
                          <w:t xml:space="preserve"> geplande acties dan op het aannemen van nieuwe wetgevings- en financieringsinitiatieven.</w:t>
                        </w:r>
                        <w:r w:rsidRPr="002416D7">
                          <w:rPr>
                            <w:rFonts w:ascii="Helvetica" w:hAnsi="Helvetica" w:cs="Helvetica"/>
                            <w:color w:val="222222"/>
                            <w:sz w:val="23"/>
                            <w:szCs w:val="23"/>
                            <w:lang w:val="nl-BE"/>
                          </w:rPr>
                          <w:br/>
                        </w:r>
                        <w:r w:rsidRPr="002416D7">
                          <w:rPr>
                            <w:rFonts w:ascii="Helvetica" w:hAnsi="Helvetica" w:cs="Helvetica"/>
                            <w:color w:val="222222"/>
                            <w:sz w:val="23"/>
                            <w:szCs w:val="23"/>
                            <w:lang w:val="nl-BE"/>
                          </w:rPr>
                          <w:br/>
                          <w:t xml:space="preserve">Dit is jammer, aangezien wij duidelijke wegen voorwaarts hadden voorgesteld, gesteund door het Europees Parlement en deskundigen van de Verenigde Naties. De door ons voorgestelde maatregelen omvatten onder meer de oprichting van een </w:t>
                        </w:r>
                        <w:hyperlink r:id="rId7" w:tgtFrame="_blank" w:history="1">
                          <w:r w:rsidRPr="002416D7">
                            <w:rPr>
                              <w:rStyle w:val="Lienhypertexte"/>
                              <w:rFonts w:ascii="Helvetica" w:hAnsi="Helvetica" w:cs="Helvetica"/>
                              <w:color w:val="0000CD"/>
                              <w:sz w:val="23"/>
                              <w:szCs w:val="23"/>
                              <w:lang w:val="nl-BE"/>
                            </w:rPr>
                            <w:t>Europees Agentschap voor Toegankelijkheid</w:t>
                          </w:r>
                        </w:hyperlink>
                        <w:r w:rsidRPr="002416D7">
                          <w:rPr>
                            <w:rFonts w:ascii="Helvetica" w:hAnsi="Helvetica" w:cs="Helvetica"/>
                            <w:color w:val="222222"/>
                            <w:sz w:val="23"/>
                            <w:szCs w:val="23"/>
                            <w:lang w:val="nl-BE"/>
                          </w:rPr>
                          <w:t xml:space="preserve">, een </w:t>
                        </w:r>
                        <w:hyperlink r:id="rId8" w:tgtFrame="_blank" w:history="1">
                          <w:r w:rsidRPr="002416D7">
                            <w:rPr>
                              <w:rStyle w:val="Lienhypertexte"/>
                              <w:rFonts w:ascii="Helvetica" w:hAnsi="Helvetica" w:cs="Helvetica"/>
                              <w:color w:val="0000CD"/>
                              <w:sz w:val="23"/>
                              <w:szCs w:val="23"/>
                              <w:lang w:val="nl-BE"/>
                            </w:rPr>
                            <w:t>EU-garantie voor werkgelegenheid en vaardigheden voor personen met een handicap</w:t>
                          </w:r>
                        </w:hyperlink>
                        <w:r w:rsidRPr="002416D7">
                          <w:rPr>
                            <w:rFonts w:ascii="Helvetica" w:hAnsi="Helvetica" w:cs="Helvetica"/>
                            <w:color w:val="222222"/>
                            <w:sz w:val="23"/>
                            <w:szCs w:val="23"/>
                            <w:lang w:val="nl-BE"/>
                          </w:rPr>
                          <w:t xml:space="preserve">, en een wet inzake de beschikbaarheid en </w:t>
                        </w:r>
                        <w:hyperlink r:id="rId9" w:tgtFrame="_blank" w:history="1">
                          <w:r w:rsidRPr="002416D7">
                            <w:rPr>
                              <w:rStyle w:val="Lienhypertexte"/>
                              <w:rFonts w:ascii="Helvetica" w:hAnsi="Helvetica" w:cs="Helvetica"/>
                              <w:color w:val="0000CD"/>
                              <w:sz w:val="23"/>
                              <w:szCs w:val="23"/>
                              <w:lang w:val="nl-BE"/>
                            </w:rPr>
                            <w:t>betaalbaarheid van ondersteunende technologieën</w:t>
                          </w:r>
                        </w:hyperlink>
                        <w:r w:rsidRPr="002416D7">
                          <w:rPr>
                            <w:rFonts w:ascii="Helvetica" w:hAnsi="Helvetica" w:cs="Helvetica"/>
                            <w:color w:val="222222"/>
                            <w:sz w:val="23"/>
                            <w:szCs w:val="23"/>
                            <w:lang w:val="nl-BE"/>
                          </w:rPr>
                          <w:t xml:space="preserve">. </w:t>
                        </w:r>
                      </w:p>
                      <w:p w14:paraId="6F2DB155" w14:textId="77777777" w:rsidR="0006126E" w:rsidRPr="002416D7" w:rsidRDefault="0006126E">
                        <w:pPr>
                          <w:spacing w:before="240" w:after="240" w:line="360" w:lineRule="auto"/>
                          <w:rPr>
                            <w:rFonts w:ascii="Helvetica" w:hAnsi="Helvetica" w:cs="Helvetica"/>
                            <w:color w:val="222222"/>
                            <w:sz w:val="23"/>
                            <w:szCs w:val="23"/>
                            <w:lang w:val="nl-BE"/>
                          </w:rPr>
                        </w:pPr>
                        <w:r w:rsidRPr="002416D7">
                          <w:rPr>
                            <w:rFonts w:ascii="Helvetica" w:hAnsi="Helvetica" w:cs="Helvetica"/>
                            <w:color w:val="222222"/>
                            <w:sz w:val="23"/>
                            <w:szCs w:val="23"/>
                            <w:lang w:val="nl-BE"/>
                          </w:rPr>
                          <w:t>Dat gezegd hebbende, omvatten de positieve voorstellen:</w:t>
                        </w:r>
                      </w:p>
                      <w:p w14:paraId="46F90A02" w14:textId="77777777" w:rsidR="0006126E" w:rsidRPr="002416D7" w:rsidRDefault="0006126E" w:rsidP="00206A37">
                        <w:pPr>
                          <w:numPr>
                            <w:ilvl w:val="0"/>
                            <w:numId w:val="1"/>
                          </w:numPr>
                          <w:spacing w:before="100" w:beforeAutospacing="1" w:after="100" w:afterAutospacing="1" w:line="360" w:lineRule="auto"/>
                          <w:rPr>
                            <w:rFonts w:ascii="Helvetica" w:eastAsia="Times New Roman" w:hAnsi="Helvetica" w:cs="Helvetica"/>
                            <w:color w:val="222222"/>
                            <w:sz w:val="23"/>
                            <w:szCs w:val="23"/>
                            <w:lang w:val="nl-BE"/>
                          </w:rPr>
                        </w:pPr>
                        <w:r w:rsidRPr="002416D7">
                          <w:rPr>
                            <w:rFonts w:ascii="Helvetica" w:eastAsia="Times New Roman" w:hAnsi="Helvetica" w:cs="Helvetica"/>
                            <w:color w:val="222222"/>
                            <w:sz w:val="23"/>
                            <w:szCs w:val="23"/>
                            <w:lang w:val="nl-BE"/>
                          </w:rPr>
                          <w:t>Het faciliteren van de oprichting van nationale en lokale centra voor zelfstandig wonen, een betere monitoring van de-institutionaliseringsprocessen in de lidstaten en het vergroten van de kennis over ondersteunde besluitvorming.</w:t>
                        </w:r>
                      </w:p>
                      <w:p w14:paraId="5B01B994" w14:textId="77777777" w:rsidR="0006126E" w:rsidRPr="002416D7" w:rsidRDefault="0006126E" w:rsidP="00206A37">
                        <w:pPr>
                          <w:numPr>
                            <w:ilvl w:val="0"/>
                            <w:numId w:val="1"/>
                          </w:numPr>
                          <w:spacing w:before="100" w:beforeAutospacing="1" w:after="100" w:afterAutospacing="1" w:line="360" w:lineRule="auto"/>
                          <w:rPr>
                            <w:rFonts w:ascii="Helvetica" w:eastAsia="Times New Roman" w:hAnsi="Helvetica" w:cs="Helvetica"/>
                            <w:color w:val="222222"/>
                            <w:sz w:val="23"/>
                            <w:szCs w:val="23"/>
                            <w:lang w:val="nl-BE"/>
                          </w:rPr>
                        </w:pPr>
                        <w:r w:rsidRPr="002416D7">
                          <w:rPr>
                            <w:rFonts w:ascii="Helvetica" w:eastAsia="Times New Roman" w:hAnsi="Helvetica" w:cs="Helvetica"/>
                            <w:color w:val="222222"/>
                            <w:sz w:val="23"/>
                            <w:szCs w:val="23"/>
                            <w:lang w:val="nl-BE"/>
                          </w:rPr>
                          <w:lastRenderedPageBreak/>
                          <w:t xml:space="preserve">Rekening houden met de risico's op het gebied van veiligheid en gezondheid op het werk waarmee werknemers met een handicap worden geconfronteerd in de komende wet </w:t>
                        </w:r>
                        <w:proofErr w:type="gramStart"/>
                        <w:r w:rsidRPr="002416D7">
                          <w:rPr>
                            <w:rFonts w:ascii="Helvetica" w:eastAsia="Times New Roman" w:hAnsi="Helvetica" w:cs="Helvetica"/>
                            <w:color w:val="222222"/>
                            <w:sz w:val="23"/>
                            <w:szCs w:val="23"/>
                            <w:lang w:val="nl-BE"/>
                          </w:rPr>
                          <w:t>inzake</w:t>
                        </w:r>
                        <w:proofErr w:type="gramEnd"/>
                        <w:r w:rsidRPr="002416D7">
                          <w:rPr>
                            <w:rFonts w:ascii="Helvetica" w:eastAsia="Times New Roman" w:hAnsi="Helvetica" w:cs="Helvetica"/>
                            <w:color w:val="222222"/>
                            <w:sz w:val="23"/>
                            <w:szCs w:val="23"/>
                            <w:lang w:val="nl-BE"/>
                          </w:rPr>
                          <w:t xml:space="preserve"> kwaliteitsbanen.</w:t>
                        </w:r>
                      </w:p>
                      <w:p w14:paraId="6C394E36" w14:textId="77777777" w:rsidR="0006126E" w:rsidRPr="002416D7" w:rsidRDefault="0006126E" w:rsidP="00206A37">
                        <w:pPr>
                          <w:numPr>
                            <w:ilvl w:val="0"/>
                            <w:numId w:val="1"/>
                          </w:numPr>
                          <w:spacing w:before="100" w:beforeAutospacing="1" w:after="100" w:afterAutospacing="1" w:line="360" w:lineRule="auto"/>
                          <w:rPr>
                            <w:rFonts w:ascii="Helvetica" w:eastAsia="Times New Roman" w:hAnsi="Helvetica" w:cs="Helvetica"/>
                            <w:color w:val="222222"/>
                            <w:sz w:val="23"/>
                            <w:szCs w:val="23"/>
                            <w:lang w:val="nl-BE"/>
                          </w:rPr>
                        </w:pPr>
                        <w:r w:rsidRPr="002416D7">
                          <w:rPr>
                            <w:rFonts w:ascii="Helvetica" w:eastAsia="Times New Roman" w:hAnsi="Helvetica" w:cs="Helvetica"/>
                            <w:color w:val="222222"/>
                            <w:sz w:val="23"/>
                            <w:szCs w:val="23"/>
                            <w:lang w:val="nl-BE"/>
                          </w:rPr>
                          <w:t xml:space="preserve">Een studie naar besluitvormingsregelingen en wetgeving </w:t>
                        </w:r>
                        <w:proofErr w:type="gramStart"/>
                        <w:r w:rsidRPr="002416D7">
                          <w:rPr>
                            <w:rFonts w:ascii="Helvetica" w:eastAsia="Times New Roman" w:hAnsi="Helvetica" w:cs="Helvetica"/>
                            <w:color w:val="222222"/>
                            <w:sz w:val="23"/>
                            <w:szCs w:val="23"/>
                            <w:lang w:val="nl-BE"/>
                          </w:rPr>
                          <w:t>inzake</w:t>
                        </w:r>
                        <w:proofErr w:type="gramEnd"/>
                        <w:r w:rsidRPr="002416D7">
                          <w:rPr>
                            <w:rFonts w:ascii="Helvetica" w:eastAsia="Times New Roman" w:hAnsi="Helvetica" w:cs="Helvetica"/>
                            <w:color w:val="222222"/>
                            <w:sz w:val="23"/>
                            <w:szCs w:val="23"/>
                            <w:lang w:val="nl-BE"/>
                          </w:rPr>
                          <w:t xml:space="preserve"> rechtsbevoegdheid in de lidstaten, waarin benaderingen van ondersteunde besluitvorming worden belicht om de zelfbeschikking van personen met een verstandelijke, mentale en psychosociale beperking te bevorderen.</w:t>
                        </w:r>
                      </w:p>
                      <w:p w14:paraId="6D7A5996" w14:textId="77777777" w:rsidR="0006126E" w:rsidRPr="002416D7" w:rsidRDefault="0006126E" w:rsidP="00206A37">
                        <w:pPr>
                          <w:numPr>
                            <w:ilvl w:val="0"/>
                            <w:numId w:val="1"/>
                          </w:numPr>
                          <w:spacing w:before="100" w:beforeAutospacing="1" w:after="100" w:afterAutospacing="1" w:line="360" w:lineRule="auto"/>
                          <w:rPr>
                            <w:rFonts w:ascii="Helvetica" w:eastAsia="Times New Roman" w:hAnsi="Helvetica" w:cs="Helvetica"/>
                            <w:color w:val="222222"/>
                            <w:sz w:val="23"/>
                            <w:szCs w:val="23"/>
                            <w:lang w:val="nl-BE"/>
                          </w:rPr>
                        </w:pPr>
                        <w:r w:rsidRPr="002416D7">
                          <w:rPr>
                            <w:rFonts w:ascii="Helvetica" w:eastAsia="Times New Roman" w:hAnsi="Helvetica" w:cs="Helvetica"/>
                            <w:color w:val="222222"/>
                            <w:sz w:val="23"/>
                            <w:szCs w:val="23"/>
                            <w:lang w:val="nl-BE"/>
                          </w:rPr>
                          <w:t xml:space="preserve">Richtlijnen </w:t>
                        </w:r>
                        <w:proofErr w:type="gramStart"/>
                        <w:r w:rsidRPr="002416D7">
                          <w:rPr>
                            <w:rFonts w:ascii="Helvetica" w:eastAsia="Times New Roman" w:hAnsi="Helvetica" w:cs="Helvetica"/>
                            <w:color w:val="222222"/>
                            <w:sz w:val="23"/>
                            <w:szCs w:val="23"/>
                            <w:lang w:val="nl-BE"/>
                          </w:rPr>
                          <w:t>inzake</w:t>
                        </w:r>
                        <w:proofErr w:type="gramEnd"/>
                        <w:r w:rsidRPr="002416D7">
                          <w:rPr>
                            <w:rFonts w:ascii="Helvetica" w:eastAsia="Times New Roman" w:hAnsi="Helvetica" w:cs="Helvetica"/>
                            <w:color w:val="222222"/>
                            <w:sz w:val="23"/>
                            <w:szCs w:val="23"/>
                            <w:lang w:val="nl-BE"/>
                          </w:rPr>
                          <w:t xml:space="preserve"> procedurele aanpassingen bij de toegang tot de rechter;</w:t>
                        </w:r>
                      </w:p>
                      <w:p w14:paraId="09CBC5F5" w14:textId="77777777" w:rsidR="0006126E" w:rsidRPr="002416D7" w:rsidRDefault="0006126E" w:rsidP="00206A37">
                        <w:pPr>
                          <w:numPr>
                            <w:ilvl w:val="0"/>
                            <w:numId w:val="1"/>
                          </w:numPr>
                          <w:spacing w:before="100" w:beforeAutospacing="1" w:after="100" w:afterAutospacing="1" w:line="360" w:lineRule="auto"/>
                          <w:rPr>
                            <w:rFonts w:ascii="Helvetica" w:eastAsia="Times New Roman" w:hAnsi="Helvetica" w:cs="Helvetica"/>
                            <w:color w:val="222222"/>
                            <w:sz w:val="23"/>
                            <w:szCs w:val="23"/>
                            <w:lang w:val="nl-BE"/>
                          </w:rPr>
                        </w:pPr>
                        <w:r w:rsidRPr="002416D7">
                          <w:rPr>
                            <w:rFonts w:ascii="Helvetica" w:eastAsia="Times New Roman" w:hAnsi="Helvetica" w:cs="Helvetica"/>
                            <w:color w:val="222222"/>
                            <w:sz w:val="23"/>
                            <w:szCs w:val="23"/>
                            <w:lang w:val="nl-BE"/>
                          </w:rPr>
                          <w:t>Een studie om de belemmeringen voor personen met een handicap bij de toegang tot ondersteunende technologieën en AI te beoordelen en relevante oplossingen te identificeren.</w:t>
                        </w:r>
                      </w:p>
                      <w:p w14:paraId="69760239" w14:textId="77777777" w:rsidR="0006126E" w:rsidRPr="002416D7" w:rsidRDefault="0006126E" w:rsidP="00206A37">
                        <w:pPr>
                          <w:numPr>
                            <w:ilvl w:val="0"/>
                            <w:numId w:val="1"/>
                          </w:numPr>
                          <w:spacing w:before="100" w:beforeAutospacing="1" w:after="100" w:afterAutospacing="1" w:line="360" w:lineRule="auto"/>
                          <w:rPr>
                            <w:rFonts w:ascii="Helvetica" w:eastAsia="Times New Roman" w:hAnsi="Helvetica" w:cs="Helvetica"/>
                            <w:color w:val="222222"/>
                            <w:sz w:val="23"/>
                            <w:szCs w:val="23"/>
                            <w:lang w:val="nl-BE"/>
                          </w:rPr>
                        </w:pPr>
                        <w:r w:rsidRPr="002416D7">
                          <w:rPr>
                            <w:rFonts w:ascii="Helvetica" w:eastAsia="Times New Roman" w:hAnsi="Helvetica" w:cs="Helvetica"/>
                            <w:color w:val="222222"/>
                            <w:sz w:val="23"/>
                            <w:szCs w:val="23"/>
                            <w:lang w:val="nl-BE"/>
                          </w:rPr>
                          <w:t>Een specifiek verslag publiceren over de huisvestingsomstandigheden van personen met een handicap in de hele EU en aanbevelingen doen aan de lidstaten over toegankelijkheid in nationale renovatieplannen.</w:t>
                        </w:r>
                      </w:p>
                      <w:p w14:paraId="6F4023B7" w14:textId="77777777" w:rsidR="0006126E" w:rsidRPr="002416D7" w:rsidRDefault="0006126E" w:rsidP="00206A37">
                        <w:pPr>
                          <w:numPr>
                            <w:ilvl w:val="0"/>
                            <w:numId w:val="1"/>
                          </w:numPr>
                          <w:spacing w:before="100" w:beforeAutospacing="1" w:after="100" w:afterAutospacing="1" w:line="360" w:lineRule="auto"/>
                          <w:rPr>
                            <w:rFonts w:ascii="Helvetica" w:eastAsia="Times New Roman" w:hAnsi="Helvetica" w:cs="Helvetica"/>
                            <w:color w:val="222222"/>
                            <w:sz w:val="23"/>
                            <w:szCs w:val="23"/>
                            <w:lang w:val="nl-BE"/>
                          </w:rPr>
                        </w:pPr>
                        <w:r w:rsidRPr="002416D7">
                          <w:rPr>
                            <w:rFonts w:ascii="Helvetica" w:eastAsia="Times New Roman" w:hAnsi="Helvetica" w:cs="Helvetica"/>
                            <w:color w:val="222222"/>
                            <w:sz w:val="23"/>
                            <w:szCs w:val="23"/>
                            <w:lang w:val="nl-BE"/>
                          </w:rPr>
                          <w:t>Analytisch werk om de extra kosten van het leven met een handicap te kwantificeren.</w:t>
                        </w:r>
                      </w:p>
                      <w:p w14:paraId="0AA7099C" w14:textId="77777777" w:rsidR="0006126E" w:rsidRDefault="0006126E">
                        <w:pPr>
                          <w:spacing w:line="360" w:lineRule="auto"/>
                          <w:rPr>
                            <w:rFonts w:ascii="Helvetica" w:hAnsi="Helvetica" w:cs="Helvetica"/>
                            <w:color w:val="222222"/>
                            <w:sz w:val="23"/>
                            <w:szCs w:val="23"/>
                          </w:rPr>
                        </w:pPr>
                        <w:r w:rsidRPr="002416D7">
                          <w:rPr>
                            <w:rFonts w:ascii="Helvetica" w:hAnsi="Helvetica" w:cs="Helvetica"/>
                            <w:color w:val="222222"/>
                            <w:sz w:val="23"/>
                            <w:szCs w:val="23"/>
                            <w:lang w:val="nl-BE"/>
                          </w:rPr>
                          <w:t>We prijzen ook de organisatie van een evenement op hoog niveau over toegankelijkheid als onderdeel van een van de conferenties over de wederopbouw van Oekraïne in 2027.</w:t>
                        </w:r>
                        <w:r w:rsidRPr="002416D7">
                          <w:rPr>
                            <w:rFonts w:ascii="Helvetica" w:hAnsi="Helvetica" w:cs="Helvetica"/>
                            <w:color w:val="222222"/>
                            <w:sz w:val="23"/>
                            <w:szCs w:val="23"/>
                            <w:lang w:val="nl-BE"/>
                          </w:rPr>
                          <w:br/>
                        </w:r>
                        <w:r w:rsidRPr="002416D7">
                          <w:rPr>
                            <w:rFonts w:ascii="Helvetica" w:hAnsi="Helvetica" w:cs="Helvetica"/>
                            <w:color w:val="222222"/>
                            <w:sz w:val="23"/>
                            <w:szCs w:val="23"/>
                            <w:lang w:val="nl-BE"/>
                          </w:rPr>
                          <w:br/>
                          <w:t>We zullen de strategie de komende dagen in detail analyseren en samenwerken met de EU-instellingen om ervoor te zorgen dat de voorgestelde maatregelen bijdragen aan het bevorderen van onze rechten en eisen.</w:t>
                        </w:r>
                        <w:r w:rsidRPr="002416D7">
                          <w:rPr>
                            <w:rFonts w:ascii="Helvetica" w:hAnsi="Helvetica" w:cs="Helvetica"/>
                            <w:color w:val="222222"/>
                            <w:sz w:val="23"/>
                            <w:szCs w:val="23"/>
                            <w:lang w:val="nl-BE"/>
                          </w:rPr>
                          <w:br/>
                        </w:r>
                        <w:r w:rsidRPr="002416D7">
                          <w:rPr>
                            <w:rFonts w:ascii="Helvetica" w:hAnsi="Helvetica" w:cs="Helvetica"/>
                            <w:color w:val="222222"/>
                            <w:sz w:val="23"/>
                            <w:szCs w:val="23"/>
                            <w:lang w:val="nl-BE"/>
                          </w:rPr>
                          <w:br/>
                        </w:r>
                        <w:r>
                          <w:rPr>
                            <w:rFonts w:ascii="Helvetica" w:hAnsi="Helvetica" w:cs="Helvetica"/>
                            <w:b/>
                            <w:bCs/>
                            <w:color w:val="222222"/>
                            <w:sz w:val="23"/>
                            <w:szCs w:val="23"/>
                          </w:rPr>
                          <w:t>Yannis Vardakastanis</w:t>
                        </w:r>
                        <w:r>
                          <w:rPr>
                            <w:rFonts w:ascii="Helvetica" w:hAnsi="Helvetica" w:cs="Helvetica"/>
                            <w:color w:val="222222"/>
                            <w:sz w:val="23"/>
                            <w:szCs w:val="23"/>
                          </w:rPr>
                          <w:t xml:space="preserve">, </w:t>
                        </w:r>
                        <w:proofErr w:type="spellStart"/>
                        <w:r>
                          <w:rPr>
                            <w:rFonts w:ascii="Helvetica" w:hAnsi="Helvetica" w:cs="Helvetica"/>
                            <w:color w:val="222222"/>
                            <w:sz w:val="23"/>
                            <w:szCs w:val="23"/>
                          </w:rPr>
                          <w:t>voorzitter</w:t>
                        </w:r>
                        <w:proofErr w:type="spellEnd"/>
                        <w:r>
                          <w:rPr>
                            <w:rFonts w:ascii="Helvetica" w:hAnsi="Helvetica" w:cs="Helvetica"/>
                            <w:color w:val="222222"/>
                            <w:sz w:val="23"/>
                            <w:szCs w:val="23"/>
                          </w:rPr>
                          <w:t xml:space="preserve"> van het Europees Gehandicaptenforum, zei: </w:t>
                        </w:r>
                      </w:p>
                      <w:p w14:paraId="45286F54" w14:textId="77777777" w:rsidR="0006126E" w:rsidRPr="002416D7" w:rsidRDefault="0006126E">
                        <w:pPr>
                          <w:spacing w:line="360" w:lineRule="auto"/>
                          <w:rPr>
                            <w:rFonts w:ascii="Helvetica" w:hAnsi="Helvetica" w:cs="Helvetica"/>
                            <w:color w:val="222222"/>
                            <w:sz w:val="23"/>
                            <w:szCs w:val="23"/>
                            <w:lang w:val="nl-BE"/>
                          </w:rPr>
                        </w:pPr>
                        <w:r w:rsidRPr="002416D7">
                          <w:rPr>
                            <w:rFonts w:ascii="Helvetica" w:hAnsi="Helvetica" w:cs="Helvetica"/>
                            <w:color w:val="222222"/>
                            <w:sz w:val="23"/>
                            <w:szCs w:val="23"/>
                            <w:lang w:val="nl-BE"/>
                          </w:rPr>
                          <w:t>“De strategie voor personen met een handicap bevat de juiste woorden, maar mist daadkracht en kracht. We herhalen onze oproep tot krachtigere maatregelen, specifieke financiering en dat de Commissie de Unie van Gelijkheid weer op haar politieke agenda zet.”</w:t>
                        </w:r>
                      </w:p>
                    </w:tc>
                  </w:tr>
                </w:tbl>
                <w:p w14:paraId="2F180959" w14:textId="77777777" w:rsidR="0006126E" w:rsidRPr="002416D7" w:rsidRDefault="0006126E">
                  <w:pPr>
                    <w:rPr>
                      <w:rFonts w:ascii="Times New Roman" w:eastAsia="Times New Roman" w:hAnsi="Times New Roman" w:cs="Times New Roman"/>
                      <w:sz w:val="20"/>
                      <w:szCs w:val="20"/>
                      <w:lang w:val="nl-BE"/>
                    </w:rPr>
                  </w:pPr>
                </w:p>
              </w:tc>
            </w:tr>
          </w:tbl>
          <w:p w14:paraId="43DC65F2" w14:textId="77777777" w:rsidR="0006126E" w:rsidRPr="002416D7" w:rsidRDefault="0006126E">
            <w:pPr>
              <w:rPr>
                <w:rFonts w:ascii="Times New Roman" w:eastAsia="Times New Roman" w:hAnsi="Times New Roman" w:cs="Times New Roman"/>
                <w:sz w:val="20"/>
                <w:szCs w:val="20"/>
                <w:lang w:val="nl-BE"/>
              </w:rPr>
            </w:pPr>
          </w:p>
        </w:tc>
      </w:tr>
    </w:tbl>
    <w:p w14:paraId="1DEECAAE" w14:textId="77777777" w:rsidR="0006126E" w:rsidRPr="002416D7" w:rsidRDefault="0006126E" w:rsidP="0006126E">
      <w:pPr>
        <w:rPr>
          <w:sz w:val="22"/>
          <w:szCs w:val="22"/>
          <w:lang w:val="nl-BE"/>
        </w:rPr>
      </w:pPr>
    </w:p>
    <w:p w14:paraId="6CE228D6" w14:textId="77777777" w:rsidR="0006126E" w:rsidRPr="002416D7" w:rsidRDefault="0006126E" w:rsidP="0006126E">
      <w:pPr>
        <w:rPr>
          <w:sz w:val="22"/>
          <w:szCs w:val="22"/>
          <w:lang w:val="nl-BE"/>
        </w:rPr>
      </w:pPr>
    </w:p>
    <w:p w14:paraId="60012975" w14:textId="77777777" w:rsidR="006D5715" w:rsidRPr="002416D7" w:rsidRDefault="006D5715">
      <w:pPr>
        <w:rPr>
          <w:lang w:val="nl-BE"/>
        </w:rPr>
      </w:pPr>
    </w:p>
    <w:sectPr w:rsidR="006D5715" w:rsidRPr="002416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0D2F1D"/>
    <w:multiLevelType w:val="multilevel"/>
    <w:tmpl w:val="6DF013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74071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26E"/>
    <w:rsid w:val="0006126E"/>
    <w:rsid w:val="00191FCA"/>
    <w:rsid w:val="002416D7"/>
    <w:rsid w:val="00263CDE"/>
    <w:rsid w:val="006D5715"/>
    <w:rsid w:val="007B0893"/>
    <w:rsid w:val="008F466D"/>
    <w:rsid w:val="00964851"/>
    <w:rsid w:val="00B75DB0"/>
    <w:rsid w:val="00FA1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5A609"/>
  <w15:chartTrackingRefBased/>
  <w15:docId w15:val="{6A1E9766-B741-439F-8172-B579DF0EB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26E"/>
    <w:pPr>
      <w:spacing w:after="0" w:line="240" w:lineRule="auto"/>
    </w:pPr>
    <w:rPr>
      <w:rFonts w:ascii="Aptos" w:hAnsi="Aptos" w:cs="Aptos"/>
      <w:kern w:val="0"/>
      <w14:ligatures w14:val="none"/>
    </w:rPr>
  </w:style>
  <w:style w:type="paragraph" w:styleId="Titre1">
    <w:name w:val="heading 1"/>
    <w:basedOn w:val="Normal"/>
    <w:next w:val="Normal"/>
    <w:link w:val="Titre1Car"/>
    <w:uiPriority w:val="9"/>
    <w:qFormat/>
    <w:rsid w:val="000612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612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6126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6126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6126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6126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6126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6126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6126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6126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6126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6126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6126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6126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6126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6126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6126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6126E"/>
    <w:rPr>
      <w:rFonts w:eastAsiaTheme="majorEastAsia" w:cstheme="majorBidi"/>
      <w:color w:val="272727" w:themeColor="text1" w:themeTint="D8"/>
    </w:rPr>
  </w:style>
  <w:style w:type="paragraph" w:styleId="Titre">
    <w:name w:val="Title"/>
    <w:basedOn w:val="Normal"/>
    <w:next w:val="Normal"/>
    <w:link w:val="TitreCar"/>
    <w:uiPriority w:val="10"/>
    <w:qFormat/>
    <w:rsid w:val="0006126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6126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6126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6126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6126E"/>
    <w:pPr>
      <w:spacing w:before="160"/>
      <w:jc w:val="center"/>
    </w:pPr>
    <w:rPr>
      <w:i/>
      <w:iCs/>
      <w:color w:val="404040" w:themeColor="text1" w:themeTint="BF"/>
    </w:rPr>
  </w:style>
  <w:style w:type="character" w:customStyle="1" w:styleId="CitationCar">
    <w:name w:val="Citation Car"/>
    <w:basedOn w:val="Policepardfaut"/>
    <w:link w:val="Citation"/>
    <w:uiPriority w:val="29"/>
    <w:rsid w:val="0006126E"/>
    <w:rPr>
      <w:i/>
      <w:iCs/>
      <w:color w:val="404040" w:themeColor="text1" w:themeTint="BF"/>
    </w:rPr>
  </w:style>
  <w:style w:type="paragraph" w:styleId="Paragraphedeliste">
    <w:name w:val="List Paragraph"/>
    <w:basedOn w:val="Normal"/>
    <w:uiPriority w:val="34"/>
    <w:qFormat/>
    <w:rsid w:val="0006126E"/>
    <w:pPr>
      <w:ind w:left="720"/>
      <w:contextualSpacing/>
    </w:pPr>
  </w:style>
  <w:style w:type="character" w:styleId="Accentuationintense">
    <w:name w:val="Intense Emphasis"/>
    <w:basedOn w:val="Policepardfaut"/>
    <w:uiPriority w:val="21"/>
    <w:qFormat/>
    <w:rsid w:val="0006126E"/>
    <w:rPr>
      <w:i/>
      <w:iCs/>
      <w:color w:val="0F4761" w:themeColor="accent1" w:themeShade="BF"/>
    </w:rPr>
  </w:style>
  <w:style w:type="paragraph" w:styleId="Citationintense">
    <w:name w:val="Intense Quote"/>
    <w:basedOn w:val="Normal"/>
    <w:next w:val="Normal"/>
    <w:link w:val="CitationintenseCar"/>
    <w:uiPriority w:val="30"/>
    <w:qFormat/>
    <w:rsid w:val="000612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6126E"/>
    <w:rPr>
      <w:i/>
      <w:iCs/>
      <w:color w:val="0F4761" w:themeColor="accent1" w:themeShade="BF"/>
    </w:rPr>
  </w:style>
  <w:style w:type="character" w:styleId="Rfrenceintense">
    <w:name w:val="Intense Reference"/>
    <w:basedOn w:val="Policepardfaut"/>
    <w:uiPriority w:val="32"/>
    <w:qFormat/>
    <w:rsid w:val="0006126E"/>
    <w:rPr>
      <w:b/>
      <w:bCs/>
      <w:smallCaps/>
      <w:color w:val="0F4761" w:themeColor="accent1" w:themeShade="BF"/>
      <w:spacing w:val="5"/>
    </w:rPr>
  </w:style>
  <w:style w:type="character" w:styleId="Lienhypertexte">
    <w:name w:val="Hyperlink"/>
    <w:basedOn w:val="Policepardfaut"/>
    <w:uiPriority w:val="99"/>
    <w:semiHidden/>
    <w:unhideWhenUsed/>
    <w:rsid w:val="000612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f-feph.us9.list-manage.com/track/click?u=865a5bbea1086c57a41cc876d&amp;id=b2bef325e1&amp;e=9a41aa8e39" TargetMode="External"/><Relationship Id="rId3" Type="http://schemas.openxmlformats.org/officeDocument/2006/relationships/settings" Target="settings.xml"/><Relationship Id="rId7" Type="http://schemas.openxmlformats.org/officeDocument/2006/relationships/hyperlink" Target="https://edf-feph.us9.list-manage.com/track/click?u=865a5bbea1086c57a41cc876d&amp;id=fe461697f0&amp;e=9a41aa8e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f-feph.us9.list-manage.com/track/click?u=865a5bbea1086c57a41cc876d&amp;id=f7ecd41dde&amp;e=9a41aa8e39" TargetMode="External"/><Relationship Id="rId11" Type="http://schemas.openxmlformats.org/officeDocument/2006/relationships/theme" Target="theme/theme1.xml"/><Relationship Id="rId5" Type="http://schemas.openxmlformats.org/officeDocument/2006/relationships/hyperlink" Target="https://edf-feph.us9.list-manage.com/track/click?u=865a5bbea1086c57a41cc876d&amp;id=ae7763cdbd&amp;e=9a41aa8e3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df-feph.us9.list-manage.com/track/click?u=865a5bbea1086c57a41cc876d&amp;id=08fa8fa068&amp;e=9a41aa8e3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3443</Characters>
  <Application>Microsoft Office Word</Application>
  <DocSecurity>4</DocSecurity>
  <Lines>81</Lines>
  <Paragraphs>19</Paragraphs>
  <ScaleCrop>false</ScaleCrop>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Berlanger Marjorie</dc:creator>
  <cp:keywords>, docId:BBC14222C779C33751C679CA4CB9DA4F</cp:keywords>
  <dc:description/>
  <cp:lastModifiedBy>Duchenne Véronique</cp:lastModifiedBy>
  <cp:revision>2</cp:revision>
  <dcterms:created xsi:type="dcterms:W3CDTF">2026-05-07T07:27:00Z</dcterms:created>
  <dcterms:modified xsi:type="dcterms:W3CDTF">2026-05-07T07:27:00Z</dcterms:modified>
</cp:coreProperties>
</file>