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26"/>
      </w:tblGrid>
      <w:tr w:rsidR="0006126E" w:rsidRPr="001F49D3" w14:paraId="3AEE3912" w14:textId="77777777">
        <w:tc>
          <w:tcPr>
            <w:tcW w:w="0" w:type="auto"/>
            <w:tcMar>
              <w:top w:w="135" w:type="dxa"/>
              <w:left w:w="0" w:type="dxa"/>
              <w:bottom w:w="0" w:type="dxa"/>
              <w:right w:w="0" w:type="dxa"/>
            </w:tcMar>
          </w:tcPr>
          <w:p w14:paraId="2FA18589" w14:textId="0695CE4F" w:rsidR="0006126E" w:rsidRDefault="001F49D3">
            <w:pPr>
              <w:rPr>
                <w:sz w:val="22"/>
                <w:szCs w:val="22"/>
              </w:rPr>
            </w:pPr>
            <w:proofErr w:type="spellStart"/>
            <w:r>
              <w:rPr>
                <w:sz w:val="22"/>
                <w:szCs w:val="22"/>
              </w:rPr>
              <w:t>T</w:t>
            </w:r>
            <w:r w:rsidRPr="001F49D3">
              <w:rPr>
                <w:sz w:val="22"/>
                <w:szCs w:val="22"/>
                <w:highlight w:val="yellow"/>
              </w:rPr>
              <w:t>raduction</w:t>
            </w:r>
            <w:proofErr w:type="spellEnd"/>
            <w:r w:rsidRPr="001F49D3">
              <w:rPr>
                <w:sz w:val="22"/>
                <w:szCs w:val="22"/>
                <w:highlight w:val="yellow"/>
              </w:rPr>
              <w:t xml:space="preserve"> DEEPL</w:t>
            </w:r>
            <w:r>
              <w:rPr>
                <w:sz w:val="22"/>
                <w:szCs w:val="22"/>
              </w:rPr>
              <w:t xml:space="preserve"> </w:t>
            </w:r>
          </w:p>
          <w:tbl>
            <w:tblPr>
              <w:tblpPr w:vertAnchor="text"/>
              <w:tblW w:w="5000" w:type="pct"/>
              <w:tblCellMar>
                <w:left w:w="0" w:type="dxa"/>
                <w:right w:w="0" w:type="dxa"/>
              </w:tblCellMar>
              <w:tblLook w:val="04A0" w:firstRow="1" w:lastRow="0" w:firstColumn="1" w:lastColumn="0" w:noHBand="0" w:noVBand="1"/>
            </w:tblPr>
            <w:tblGrid>
              <w:gridCol w:w="9026"/>
            </w:tblGrid>
            <w:tr w:rsidR="0006126E" w:rsidRPr="001F49D3" w14:paraId="26901330" w14:textId="77777777">
              <w:tc>
                <w:tcPr>
                  <w:tcW w:w="9000" w:type="dxa"/>
                </w:tcPr>
                <w:p w14:paraId="628C935D" w14:textId="77777777" w:rsidR="0006126E" w:rsidRDefault="0006126E">
                  <w:pPr>
                    <w:rPr>
                      <w:sz w:val="22"/>
                      <w:szCs w:val="22"/>
                    </w:rPr>
                  </w:pPr>
                </w:p>
                <w:tbl>
                  <w:tblPr>
                    <w:tblpPr w:vertAnchor="text"/>
                    <w:tblW w:w="5000" w:type="pct"/>
                    <w:tblCellMar>
                      <w:left w:w="0" w:type="dxa"/>
                      <w:right w:w="0" w:type="dxa"/>
                    </w:tblCellMar>
                    <w:tblLook w:val="04A0" w:firstRow="1" w:lastRow="0" w:firstColumn="1" w:lastColumn="0" w:noHBand="0" w:noVBand="1"/>
                  </w:tblPr>
                  <w:tblGrid>
                    <w:gridCol w:w="9026"/>
                  </w:tblGrid>
                  <w:tr w:rsidR="0006126E" w:rsidRPr="001F49D3" w14:paraId="43DB78F4" w14:textId="77777777">
                    <w:tc>
                      <w:tcPr>
                        <w:tcW w:w="0" w:type="auto"/>
                        <w:tcMar>
                          <w:top w:w="0" w:type="dxa"/>
                          <w:left w:w="270" w:type="dxa"/>
                          <w:bottom w:w="135" w:type="dxa"/>
                          <w:right w:w="270" w:type="dxa"/>
                        </w:tcMar>
                        <w:hideMark/>
                      </w:tcPr>
                      <w:p w14:paraId="45FE3246" w14:textId="77777777" w:rsidR="0006126E" w:rsidRPr="001F49D3" w:rsidRDefault="0006126E">
                        <w:pPr>
                          <w:spacing w:line="300" w:lineRule="auto"/>
                          <w:rPr>
                            <w:rFonts w:ascii="Helvetica" w:hAnsi="Helvetica" w:cs="Helvetica"/>
                            <w:b/>
                            <w:bCs/>
                            <w:color w:val="0477B3"/>
                            <w:sz w:val="27"/>
                            <w:szCs w:val="27"/>
                            <w:lang w:val="fr-BE"/>
                          </w:rPr>
                        </w:pPr>
                        <w:r w:rsidRPr="001F49D3">
                          <w:rPr>
                            <w:rFonts w:ascii="Helvetica" w:hAnsi="Helvetica" w:cs="Helvetica"/>
                            <w:b/>
                            <w:bCs/>
                            <w:color w:val="0477B3"/>
                            <w:sz w:val="27"/>
                            <w:szCs w:val="27"/>
                            <w:lang w:val="fr-BE"/>
                          </w:rPr>
                          <w:t>La mise à jour de la stratégie de l'UE en matière de droits des personnes handicapées manque d'ambition pour faire progresser nos droits</w:t>
                        </w:r>
                      </w:p>
                    </w:tc>
                  </w:tr>
                </w:tbl>
                <w:p w14:paraId="55BBF418" w14:textId="77777777" w:rsidR="0006126E" w:rsidRPr="001F49D3" w:rsidRDefault="0006126E">
                  <w:pPr>
                    <w:rPr>
                      <w:rFonts w:eastAsia="Times New Roman"/>
                      <w:lang w:val="fr-BE"/>
                    </w:rPr>
                  </w:pPr>
                </w:p>
              </w:tc>
            </w:tr>
          </w:tbl>
          <w:p w14:paraId="003CE372" w14:textId="77777777" w:rsidR="0006126E" w:rsidRPr="001F49D3" w:rsidRDefault="0006126E">
            <w:pPr>
              <w:rPr>
                <w:rFonts w:eastAsia="Times New Roman"/>
                <w:lang w:val="fr-BE"/>
              </w:rPr>
            </w:pPr>
          </w:p>
        </w:tc>
      </w:tr>
    </w:tbl>
    <w:p w14:paraId="60104B45" w14:textId="77777777" w:rsidR="0006126E" w:rsidRPr="001F49D3" w:rsidRDefault="0006126E" w:rsidP="0006126E">
      <w:pPr>
        <w:rPr>
          <w:lang w:val="fr-BE"/>
        </w:rPr>
      </w:pPr>
    </w:p>
    <w:tbl>
      <w:tblPr>
        <w:tblW w:w="5000" w:type="pct"/>
        <w:tblCellMar>
          <w:left w:w="0" w:type="dxa"/>
          <w:right w:w="0" w:type="dxa"/>
        </w:tblCellMar>
        <w:tblLook w:val="04A0" w:firstRow="1" w:lastRow="0" w:firstColumn="1" w:lastColumn="0" w:noHBand="0" w:noVBand="1"/>
      </w:tblPr>
      <w:tblGrid>
        <w:gridCol w:w="9026"/>
      </w:tblGrid>
      <w:tr w:rsidR="0006126E" w:rsidRPr="001F49D3" w14:paraId="4C9ECD6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6126E" w:rsidRPr="001F49D3" w14:paraId="70B5C96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6126E" w:rsidRPr="001F49D3" w14:paraId="4DB1FFC5" w14:textId="77777777">
                    <w:tc>
                      <w:tcPr>
                        <w:tcW w:w="0" w:type="auto"/>
                        <w:tcMar>
                          <w:top w:w="0" w:type="dxa"/>
                          <w:left w:w="270" w:type="dxa"/>
                          <w:bottom w:w="135" w:type="dxa"/>
                          <w:right w:w="270" w:type="dxa"/>
                        </w:tcMar>
                        <w:hideMark/>
                      </w:tcPr>
                      <w:p w14:paraId="6C247539" w14:textId="77777777" w:rsidR="0006126E" w:rsidRPr="001F49D3" w:rsidRDefault="0006126E">
                        <w:pPr>
                          <w:spacing w:line="300" w:lineRule="auto"/>
                          <w:rPr>
                            <w:rFonts w:ascii="Helvetica" w:hAnsi="Helvetica" w:cs="Helvetica"/>
                            <w:b/>
                            <w:bCs/>
                            <w:color w:val="E22B21"/>
                            <w:lang w:val="fr-BE"/>
                          </w:rPr>
                        </w:pPr>
                        <w:r w:rsidRPr="001F49D3">
                          <w:rPr>
                            <w:rFonts w:ascii="Helvetica" w:hAnsi="Helvetica" w:cs="Helvetica"/>
                            <w:b/>
                            <w:bCs/>
                            <w:color w:val="B22222"/>
                            <w:lang w:val="fr-BE"/>
                          </w:rPr>
                          <w:t>La stratégie ne prévoit pas de nouvelles initiatives législatives et fait l'impasse sur bon nombre des revendications du mouvement des personnes handicapées.</w:t>
                        </w:r>
                        <w:r w:rsidRPr="001F49D3">
                          <w:rPr>
                            <w:rFonts w:ascii="Helvetica" w:hAnsi="Helvetica" w:cs="Helvetica"/>
                            <w:b/>
                            <w:bCs/>
                            <w:color w:val="E22B21"/>
                            <w:lang w:val="fr-BE"/>
                          </w:rPr>
                          <w:br/>
                          <w:t xml:space="preserve"> </w:t>
                        </w:r>
                      </w:p>
                    </w:tc>
                  </w:tr>
                </w:tbl>
                <w:p w14:paraId="40AE1058" w14:textId="77777777" w:rsidR="0006126E" w:rsidRPr="001F49D3" w:rsidRDefault="0006126E">
                  <w:pPr>
                    <w:rPr>
                      <w:rFonts w:ascii="Times New Roman" w:eastAsia="Times New Roman" w:hAnsi="Times New Roman" w:cs="Times New Roman"/>
                      <w:sz w:val="20"/>
                      <w:szCs w:val="20"/>
                      <w:lang w:val="fr-BE"/>
                    </w:rPr>
                  </w:pPr>
                </w:p>
              </w:tc>
            </w:tr>
          </w:tbl>
          <w:p w14:paraId="08FC2832" w14:textId="77777777" w:rsidR="0006126E" w:rsidRPr="001F49D3" w:rsidRDefault="0006126E">
            <w:pPr>
              <w:rPr>
                <w:rFonts w:ascii="Times New Roman" w:eastAsia="Times New Roman" w:hAnsi="Times New Roman" w:cs="Times New Roman"/>
                <w:sz w:val="20"/>
                <w:szCs w:val="20"/>
                <w:lang w:val="fr-BE"/>
              </w:rPr>
            </w:pPr>
          </w:p>
        </w:tc>
      </w:tr>
    </w:tbl>
    <w:p w14:paraId="033B781D" w14:textId="77777777" w:rsidR="0006126E" w:rsidRPr="001F49D3" w:rsidRDefault="0006126E" w:rsidP="0006126E">
      <w:pPr>
        <w:rPr>
          <w:lang w:val="fr-BE"/>
        </w:rPr>
      </w:pPr>
    </w:p>
    <w:tbl>
      <w:tblPr>
        <w:tblW w:w="5000" w:type="pct"/>
        <w:tblCellMar>
          <w:left w:w="0" w:type="dxa"/>
          <w:right w:w="0" w:type="dxa"/>
        </w:tblCellMar>
        <w:tblLook w:val="04A0" w:firstRow="1" w:lastRow="0" w:firstColumn="1" w:lastColumn="0" w:noHBand="0" w:noVBand="1"/>
      </w:tblPr>
      <w:tblGrid>
        <w:gridCol w:w="9026"/>
      </w:tblGrid>
      <w:tr w:rsidR="0006126E" w:rsidRPr="001F49D3" w14:paraId="793FC17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6126E" w:rsidRPr="001F49D3" w14:paraId="482B655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6126E" w:rsidRPr="001F49D3" w14:paraId="3B43B232" w14:textId="77777777">
                    <w:tc>
                      <w:tcPr>
                        <w:tcW w:w="0" w:type="auto"/>
                        <w:tcMar>
                          <w:top w:w="0" w:type="dxa"/>
                          <w:left w:w="270" w:type="dxa"/>
                          <w:bottom w:w="135" w:type="dxa"/>
                          <w:right w:w="270" w:type="dxa"/>
                        </w:tcMar>
                        <w:hideMark/>
                      </w:tcPr>
                      <w:p w14:paraId="1B7B95C7" w14:textId="77777777" w:rsidR="0006126E" w:rsidRPr="001F49D3" w:rsidRDefault="0006126E">
                        <w:pPr>
                          <w:spacing w:line="360" w:lineRule="auto"/>
                          <w:rPr>
                            <w:rFonts w:ascii="Helvetica" w:hAnsi="Helvetica" w:cs="Helvetica"/>
                            <w:color w:val="222222"/>
                            <w:sz w:val="23"/>
                            <w:szCs w:val="23"/>
                            <w:lang w:val="fr-BE"/>
                          </w:rPr>
                        </w:pPr>
                        <w:hyperlink r:id="rId5" w:tgtFrame="_blank" w:history="1">
                          <w:r w:rsidRPr="001F49D3">
                            <w:rPr>
                              <w:rStyle w:val="Lienhypertexte"/>
                              <w:rFonts w:ascii="Helvetica" w:hAnsi="Helvetica" w:cs="Helvetica"/>
                              <w:color w:val="0000CD"/>
                              <w:sz w:val="23"/>
                              <w:szCs w:val="23"/>
                              <w:lang w:val="fr-BE"/>
                            </w:rPr>
                            <w:t>La stratégie «renforcée» en faveur des droits des personnes handicapées</w:t>
                          </w:r>
                        </w:hyperlink>
                        <w:r w:rsidRPr="001F49D3">
                          <w:rPr>
                            <w:rFonts w:ascii="Helvetica" w:hAnsi="Helvetica" w:cs="Helvetica"/>
                            <w:color w:val="0000CD"/>
                            <w:sz w:val="23"/>
                            <w:szCs w:val="23"/>
                            <w:lang w:val="fr-BE"/>
                          </w:rPr>
                          <w:t xml:space="preserve">, </w:t>
                        </w:r>
                        <w:r w:rsidRPr="001F49D3">
                          <w:rPr>
                            <w:rFonts w:ascii="Helvetica" w:hAnsi="Helvetica" w:cs="Helvetica"/>
                            <w:color w:val="222222"/>
                            <w:sz w:val="23"/>
                            <w:szCs w:val="23"/>
                            <w:lang w:val="fr-BE"/>
                          </w:rPr>
                          <w:t>présentée aujourd’hui par la Commission européenne, ne répond pas à nos attentes et ne satisfait pas à l’obligation de l’Union européenne de mettre en œuvre la Convention des Nations unies relative aux droits des personnes handicapées.</w:t>
                        </w:r>
                        <w:r w:rsidRPr="001F49D3">
                          <w:rPr>
                            <w:rFonts w:ascii="Helvetica" w:hAnsi="Helvetica" w:cs="Helvetica"/>
                            <w:color w:val="222222"/>
                            <w:sz w:val="23"/>
                            <w:szCs w:val="23"/>
                            <w:lang w:val="fr-BE"/>
                          </w:rPr>
                          <w:br/>
                        </w:r>
                        <w:r w:rsidRPr="001F49D3">
                          <w:rPr>
                            <w:rFonts w:ascii="Helvetica" w:hAnsi="Helvetica" w:cs="Helvetica"/>
                            <w:color w:val="222222"/>
                            <w:sz w:val="23"/>
                            <w:szCs w:val="23"/>
                            <w:lang w:val="fr-BE"/>
                          </w:rPr>
                          <w:br/>
                          <w:t xml:space="preserve">Si la stratégie comprend certaines propositions intéressantes et identifie des défis clés, aucune de </w:t>
                        </w:r>
                        <w:hyperlink r:id="rId6" w:tgtFrame="_blank" w:history="1">
                          <w:r w:rsidRPr="001F49D3">
                            <w:rPr>
                              <w:rStyle w:val="Lienhypertexte"/>
                              <w:rFonts w:ascii="Helvetica" w:hAnsi="Helvetica" w:cs="Helvetica"/>
                              <w:color w:val="0000CD"/>
                              <w:sz w:val="23"/>
                              <w:szCs w:val="23"/>
                              <w:lang w:val="fr-BE"/>
                            </w:rPr>
                            <w:t>nos initiatives phares proposées</w:t>
                          </w:r>
                        </w:hyperlink>
                        <w:r w:rsidRPr="001F49D3">
                          <w:rPr>
                            <w:rFonts w:ascii="Helvetica" w:hAnsi="Helvetica" w:cs="Helvetica"/>
                            <w:color w:val="222222"/>
                            <w:sz w:val="23"/>
                            <w:szCs w:val="23"/>
                            <w:lang w:val="fr-BE"/>
                          </w:rPr>
                          <w:t xml:space="preserve"> n’y a été incluse. La stratégie met davantage l’accent sur des études, des travaux préparatoires et des actions déjà prévues que sur l’adoption de nouvelles initiatives législatives et de financement.</w:t>
                        </w:r>
                        <w:r w:rsidRPr="001F49D3">
                          <w:rPr>
                            <w:rFonts w:ascii="Helvetica" w:hAnsi="Helvetica" w:cs="Helvetica"/>
                            <w:color w:val="222222"/>
                            <w:sz w:val="23"/>
                            <w:szCs w:val="23"/>
                            <w:lang w:val="fr-BE"/>
                          </w:rPr>
                          <w:br/>
                        </w:r>
                        <w:r w:rsidRPr="001F49D3">
                          <w:rPr>
                            <w:rFonts w:ascii="Helvetica" w:hAnsi="Helvetica" w:cs="Helvetica"/>
                            <w:color w:val="222222"/>
                            <w:sz w:val="23"/>
                            <w:szCs w:val="23"/>
                            <w:lang w:val="fr-BE"/>
                          </w:rPr>
                          <w:br/>
                          <w:t xml:space="preserve">C'est regrettable, car nous avions présenté des pistes claires pour l'avenir, soutenues par le Parlement européen et des experts des Nations unies. Les actions que nous avions proposées comprenaient notamment la création d'une </w:t>
                        </w:r>
                        <w:hyperlink r:id="rId7" w:tgtFrame="_blank" w:history="1">
                          <w:r w:rsidRPr="001F49D3">
                            <w:rPr>
                              <w:rStyle w:val="Lienhypertexte"/>
                              <w:rFonts w:ascii="Helvetica" w:hAnsi="Helvetica" w:cs="Helvetica"/>
                              <w:color w:val="0000CD"/>
                              <w:sz w:val="23"/>
                              <w:szCs w:val="23"/>
                              <w:lang w:val="fr-BE"/>
                            </w:rPr>
                            <w:t>Agence européenne pour l'accessibilité</w:t>
                          </w:r>
                        </w:hyperlink>
                        <w:r w:rsidRPr="001F49D3">
                          <w:rPr>
                            <w:rFonts w:ascii="Helvetica" w:hAnsi="Helvetica" w:cs="Helvetica"/>
                            <w:color w:val="222222"/>
                            <w:sz w:val="23"/>
                            <w:szCs w:val="23"/>
                            <w:lang w:val="fr-BE"/>
                          </w:rPr>
                          <w:t xml:space="preserve">, une </w:t>
                        </w:r>
                        <w:hyperlink r:id="rId8" w:tgtFrame="_blank" w:history="1">
                          <w:r w:rsidRPr="001F49D3">
                            <w:rPr>
                              <w:rStyle w:val="Lienhypertexte"/>
                              <w:rFonts w:ascii="Helvetica" w:hAnsi="Helvetica" w:cs="Helvetica"/>
                              <w:color w:val="0000CD"/>
                              <w:sz w:val="23"/>
                              <w:szCs w:val="23"/>
                              <w:lang w:val="fr-BE"/>
                            </w:rPr>
                            <w:t>garantie européenne pour l'emploi et les compétences des personnes handicapées</w:t>
                          </w:r>
                        </w:hyperlink>
                        <w:r w:rsidRPr="001F49D3">
                          <w:rPr>
                            <w:rFonts w:ascii="Helvetica" w:hAnsi="Helvetica" w:cs="Helvetica"/>
                            <w:color w:val="222222"/>
                            <w:sz w:val="23"/>
                            <w:szCs w:val="23"/>
                            <w:lang w:val="fr-BE"/>
                          </w:rPr>
                          <w:t xml:space="preserve">, ainsi qu'une loi sur la disponibilité et </w:t>
                        </w:r>
                        <w:hyperlink r:id="rId9" w:tgtFrame="_blank" w:history="1">
                          <w:r w:rsidRPr="001F49D3">
                            <w:rPr>
                              <w:rStyle w:val="Lienhypertexte"/>
                              <w:rFonts w:ascii="Helvetica" w:hAnsi="Helvetica" w:cs="Helvetica"/>
                              <w:color w:val="0000CD"/>
                              <w:sz w:val="23"/>
                              <w:szCs w:val="23"/>
                              <w:lang w:val="fr-BE"/>
                            </w:rPr>
                            <w:t>l'accessibilité financière des technologies d'assistance</w:t>
                          </w:r>
                        </w:hyperlink>
                        <w:r w:rsidRPr="001F49D3">
                          <w:rPr>
                            <w:rFonts w:ascii="Helvetica" w:hAnsi="Helvetica" w:cs="Helvetica"/>
                            <w:color w:val="222222"/>
                            <w:sz w:val="23"/>
                            <w:szCs w:val="23"/>
                            <w:lang w:val="fr-BE"/>
                          </w:rPr>
                          <w:t xml:space="preserve">. </w:t>
                        </w:r>
                      </w:p>
                      <w:p w14:paraId="6F2DB155" w14:textId="77777777" w:rsidR="0006126E" w:rsidRPr="001F49D3" w:rsidRDefault="0006126E">
                        <w:pPr>
                          <w:spacing w:before="240" w:after="240" w:line="360" w:lineRule="auto"/>
                          <w:rPr>
                            <w:rFonts w:ascii="Helvetica" w:hAnsi="Helvetica" w:cs="Helvetica"/>
                            <w:color w:val="222222"/>
                            <w:sz w:val="23"/>
                            <w:szCs w:val="23"/>
                            <w:lang w:val="fr-BE"/>
                          </w:rPr>
                        </w:pPr>
                        <w:r w:rsidRPr="001F49D3">
                          <w:rPr>
                            <w:rFonts w:ascii="Helvetica" w:hAnsi="Helvetica" w:cs="Helvetica"/>
                            <w:color w:val="222222"/>
                            <w:sz w:val="23"/>
                            <w:szCs w:val="23"/>
                            <w:lang w:val="fr-BE"/>
                          </w:rPr>
                          <w:t>Cela dit, parmi les propositions positives, on peut citer :</w:t>
                        </w:r>
                      </w:p>
                      <w:p w14:paraId="46F90A02" w14:textId="77777777" w:rsidR="0006126E" w:rsidRPr="001F49D3"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fr-BE"/>
                          </w:rPr>
                        </w:pPr>
                        <w:r w:rsidRPr="001F49D3">
                          <w:rPr>
                            <w:rFonts w:ascii="Helvetica" w:eastAsia="Times New Roman" w:hAnsi="Helvetica" w:cs="Helvetica"/>
                            <w:color w:val="222222"/>
                            <w:sz w:val="23"/>
                            <w:szCs w:val="23"/>
                            <w:lang w:val="fr-BE"/>
                          </w:rPr>
                          <w:t xml:space="preserve">Faciliter la création de centres nationaux et locaux pour la vie autonome, améliorer le suivi des processus de </w:t>
                        </w:r>
                        <w:proofErr w:type="spellStart"/>
                        <w:r w:rsidRPr="001F49D3">
                          <w:rPr>
                            <w:rFonts w:ascii="Helvetica" w:eastAsia="Times New Roman" w:hAnsi="Helvetica" w:cs="Helvetica"/>
                            <w:color w:val="222222"/>
                            <w:sz w:val="23"/>
                            <w:szCs w:val="23"/>
                            <w:lang w:val="fr-BE"/>
                          </w:rPr>
                          <w:t>désinstitutionnalisation</w:t>
                        </w:r>
                        <w:proofErr w:type="spellEnd"/>
                        <w:r w:rsidRPr="001F49D3">
                          <w:rPr>
                            <w:rFonts w:ascii="Helvetica" w:eastAsia="Times New Roman" w:hAnsi="Helvetica" w:cs="Helvetica"/>
                            <w:color w:val="222222"/>
                            <w:sz w:val="23"/>
                            <w:szCs w:val="23"/>
                            <w:lang w:val="fr-BE"/>
                          </w:rPr>
                          <w:t xml:space="preserve"> dans les États membres et renforcer les connaissances en matière de prise de décision assistée.</w:t>
                        </w:r>
                      </w:p>
                      <w:p w14:paraId="5B01B994" w14:textId="77777777" w:rsidR="0006126E" w:rsidRPr="001F49D3"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fr-BE"/>
                          </w:rPr>
                        </w:pPr>
                        <w:r w:rsidRPr="001F49D3">
                          <w:rPr>
                            <w:rFonts w:ascii="Helvetica" w:eastAsia="Times New Roman" w:hAnsi="Helvetica" w:cs="Helvetica"/>
                            <w:color w:val="222222"/>
                            <w:sz w:val="23"/>
                            <w:szCs w:val="23"/>
                            <w:lang w:val="fr-BE"/>
                          </w:rPr>
                          <w:lastRenderedPageBreak/>
                          <w:t>La prise en compte des risques en matière de sécurité et de santé au travail auxquels sont confrontés les travailleurs handicapés dans la future loi sur les emplois de qualité.</w:t>
                        </w:r>
                      </w:p>
                      <w:p w14:paraId="6C394E36" w14:textId="77777777" w:rsidR="0006126E" w:rsidRPr="001F49D3"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fr-BE"/>
                          </w:rPr>
                        </w:pPr>
                        <w:r w:rsidRPr="001F49D3">
                          <w:rPr>
                            <w:rFonts w:ascii="Helvetica" w:eastAsia="Times New Roman" w:hAnsi="Helvetica" w:cs="Helvetica"/>
                            <w:color w:val="222222"/>
                            <w:sz w:val="23"/>
                            <w:szCs w:val="23"/>
                            <w:lang w:val="fr-BE"/>
                          </w:rPr>
                          <w:t>Une étude sur les régimes de prise de décision et la législation relative à la capacité juridique dans les États membres, mettant en avant les approches de prise de décision assistée afin d’encourager l’autodétermination des personnes présentant un handicap intellectuel, mental ou psychosocial.</w:t>
                        </w:r>
                      </w:p>
                      <w:p w14:paraId="6D7A5996" w14:textId="77777777" w:rsidR="0006126E" w:rsidRPr="001F49D3"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fr-BE"/>
                          </w:rPr>
                        </w:pPr>
                        <w:r w:rsidRPr="001F49D3">
                          <w:rPr>
                            <w:rFonts w:ascii="Helvetica" w:eastAsia="Times New Roman" w:hAnsi="Helvetica" w:cs="Helvetica"/>
                            <w:color w:val="222222"/>
                            <w:sz w:val="23"/>
                            <w:szCs w:val="23"/>
                            <w:lang w:val="fr-BE"/>
                          </w:rPr>
                          <w:t>Des lignes directrices sur les aménagements procéduraux pour l'accès à la justice ;</w:t>
                        </w:r>
                      </w:p>
                      <w:p w14:paraId="09CBC5F5" w14:textId="77777777" w:rsidR="0006126E" w:rsidRPr="001F49D3"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fr-BE"/>
                          </w:rPr>
                        </w:pPr>
                        <w:r w:rsidRPr="001F49D3">
                          <w:rPr>
                            <w:rFonts w:ascii="Helvetica" w:eastAsia="Times New Roman" w:hAnsi="Helvetica" w:cs="Helvetica"/>
                            <w:color w:val="222222"/>
                            <w:sz w:val="23"/>
                            <w:szCs w:val="23"/>
                            <w:lang w:val="fr-BE"/>
                          </w:rPr>
                          <w:t>Une étude visant à évaluer les obstacles rencontrés par les personnes handicapées dans l'accès aux technologies d'assistance et à l'IA, et à identifier des solutions pertinentes.</w:t>
                        </w:r>
                      </w:p>
                      <w:p w14:paraId="69760239" w14:textId="77777777" w:rsidR="0006126E" w:rsidRPr="001F49D3"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fr-BE"/>
                          </w:rPr>
                        </w:pPr>
                        <w:r w:rsidRPr="001F49D3">
                          <w:rPr>
                            <w:rFonts w:ascii="Helvetica" w:eastAsia="Times New Roman" w:hAnsi="Helvetica" w:cs="Helvetica"/>
                            <w:color w:val="222222"/>
                            <w:sz w:val="23"/>
                            <w:szCs w:val="23"/>
                            <w:lang w:val="fr-BE"/>
                          </w:rPr>
                          <w:t>Publier un rapport spécifique sur les conditions de logement des personnes handicapées dans l'ensemble de l'UE et formuler des recommandations à l'intention des États membres concernant l'accessibilité dans les plans nationaux de rénovation.</w:t>
                        </w:r>
                      </w:p>
                      <w:p w14:paraId="6F4023B7" w14:textId="77777777" w:rsidR="0006126E" w:rsidRPr="001F49D3"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fr-BE"/>
                          </w:rPr>
                        </w:pPr>
                        <w:r w:rsidRPr="001F49D3">
                          <w:rPr>
                            <w:rFonts w:ascii="Helvetica" w:eastAsia="Times New Roman" w:hAnsi="Helvetica" w:cs="Helvetica"/>
                            <w:color w:val="222222"/>
                            <w:sz w:val="23"/>
                            <w:szCs w:val="23"/>
                            <w:lang w:val="fr-BE"/>
                          </w:rPr>
                          <w:t>Un travail d'analyse visant à quantifier le surcoût lié au fait de vivre avec un handicap.</w:t>
                        </w:r>
                      </w:p>
                      <w:p w14:paraId="0AA7099C" w14:textId="77777777" w:rsidR="0006126E" w:rsidRPr="001F49D3" w:rsidRDefault="0006126E">
                        <w:pPr>
                          <w:spacing w:line="360" w:lineRule="auto"/>
                          <w:rPr>
                            <w:rFonts w:ascii="Helvetica" w:hAnsi="Helvetica" w:cs="Helvetica"/>
                            <w:color w:val="222222"/>
                            <w:sz w:val="23"/>
                            <w:szCs w:val="23"/>
                            <w:lang w:val="fr-BE"/>
                          </w:rPr>
                        </w:pPr>
                        <w:r w:rsidRPr="001F49D3">
                          <w:rPr>
                            <w:rFonts w:ascii="Helvetica" w:hAnsi="Helvetica" w:cs="Helvetica"/>
                            <w:color w:val="222222"/>
                            <w:sz w:val="23"/>
                            <w:szCs w:val="23"/>
                            <w:lang w:val="fr-BE"/>
                          </w:rPr>
                          <w:t>Nous saluons également l'organisation d'un événement de haut niveau consacré à l'accessibilité dans le cadre de l'une des conférences sur la reconstruction de l'Ukraine en 2027.</w:t>
                        </w:r>
                        <w:r w:rsidRPr="001F49D3">
                          <w:rPr>
                            <w:rFonts w:ascii="Helvetica" w:hAnsi="Helvetica" w:cs="Helvetica"/>
                            <w:color w:val="222222"/>
                            <w:sz w:val="23"/>
                            <w:szCs w:val="23"/>
                            <w:lang w:val="fr-BE"/>
                          </w:rPr>
                          <w:br/>
                        </w:r>
                        <w:r w:rsidRPr="001F49D3">
                          <w:rPr>
                            <w:rFonts w:ascii="Helvetica" w:hAnsi="Helvetica" w:cs="Helvetica"/>
                            <w:color w:val="222222"/>
                            <w:sz w:val="23"/>
                            <w:szCs w:val="23"/>
                            <w:lang w:val="fr-BE"/>
                          </w:rPr>
                          <w:br/>
                          <w:t>Nous analyserons la stratégie en détail dans les prochains jours et travaillerons avec les institutions de l'UE pour veiller à ce que les actions proposées contribuent à faire progresser nos droits et nos revendications.</w:t>
                        </w:r>
                        <w:r w:rsidRPr="001F49D3">
                          <w:rPr>
                            <w:rFonts w:ascii="Helvetica" w:hAnsi="Helvetica" w:cs="Helvetica"/>
                            <w:color w:val="222222"/>
                            <w:sz w:val="23"/>
                            <w:szCs w:val="23"/>
                            <w:lang w:val="fr-BE"/>
                          </w:rPr>
                          <w:br/>
                        </w:r>
                        <w:r w:rsidRPr="001F49D3">
                          <w:rPr>
                            <w:rFonts w:ascii="Helvetica" w:hAnsi="Helvetica" w:cs="Helvetica"/>
                            <w:color w:val="222222"/>
                            <w:sz w:val="23"/>
                            <w:szCs w:val="23"/>
                            <w:lang w:val="fr-BE"/>
                          </w:rPr>
                          <w:br/>
                        </w:r>
                        <w:r w:rsidRPr="001F49D3">
                          <w:rPr>
                            <w:rFonts w:ascii="Helvetica" w:hAnsi="Helvetica" w:cs="Helvetica"/>
                            <w:b/>
                            <w:bCs/>
                            <w:color w:val="222222"/>
                            <w:sz w:val="23"/>
                            <w:szCs w:val="23"/>
                            <w:lang w:val="fr-BE"/>
                          </w:rPr>
                          <w:t>Yannis Vardakastanis</w:t>
                        </w:r>
                        <w:r w:rsidRPr="001F49D3">
                          <w:rPr>
                            <w:rFonts w:ascii="Helvetica" w:hAnsi="Helvetica" w:cs="Helvetica"/>
                            <w:color w:val="222222"/>
                            <w:sz w:val="23"/>
                            <w:szCs w:val="23"/>
                            <w:lang w:val="fr-BE"/>
                          </w:rPr>
                          <w:t xml:space="preserve">, président du Forum européen des personnes handicapées, a déclaré : </w:t>
                        </w:r>
                      </w:p>
                      <w:p w14:paraId="45286F54" w14:textId="77777777" w:rsidR="0006126E" w:rsidRPr="001F49D3" w:rsidRDefault="0006126E">
                        <w:pPr>
                          <w:spacing w:line="360" w:lineRule="auto"/>
                          <w:rPr>
                            <w:rFonts w:ascii="Helvetica" w:hAnsi="Helvetica" w:cs="Helvetica"/>
                            <w:color w:val="222222"/>
                            <w:sz w:val="23"/>
                            <w:szCs w:val="23"/>
                            <w:lang w:val="fr-BE"/>
                          </w:rPr>
                        </w:pPr>
                        <w:r w:rsidRPr="001F49D3">
                          <w:rPr>
                            <w:rFonts w:ascii="Helvetica" w:hAnsi="Helvetica" w:cs="Helvetica"/>
                            <w:color w:val="222222"/>
                            <w:sz w:val="23"/>
                            <w:szCs w:val="23"/>
                            <w:lang w:val="fr-BE"/>
                          </w:rPr>
                          <w:t>« La stratégie en faveur des personnes handicapées contient les bons mots, mais elle manque de mordant et de force. Nous renouvelons notre appel en faveur de mesures plus fortes, d’un financement dédié, et demandons à la Commission de remettre l’Union de l’égalité à l’ordre du jour de son agenda politique. »</w:t>
                        </w:r>
                      </w:p>
                    </w:tc>
                  </w:tr>
                </w:tbl>
                <w:p w14:paraId="2F180959" w14:textId="77777777" w:rsidR="0006126E" w:rsidRPr="001F49D3" w:rsidRDefault="0006126E">
                  <w:pPr>
                    <w:rPr>
                      <w:rFonts w:ascii="Times New Roman" w:eastAsia="Times New Roman" w:hAnsi="Times New Roman" w:cs="Times New Roman"/>
                      <w:sz w:val="20"/>
                      <w:szCs w:val="20"/>
                      <w:lang w:val="fr-BE"/>
                    </w:rPr>
                  </w:pPr>
                </w:p>
              </w:tc>
            </w:tr>
          </w:tbl>
          <w:p w14:paraId="43DC65F2" w14:textId="77777777" w:rsidR="0006126E" w:rsidRPr="001F49D3" w:rsidRDefault="0006126E">
            <w:pPr>
              <w:rPr>
                <w:rFonts w:ascii="Times New Roman" w:eastAsia="Times New Roman" w:hAnsi="Times New Roman" w:cs="Times New Roman"/>
                <w:sz w:val="20"/>
                <w:szCs w:val="20"/>
                <w:lang w:val="fr-BE"/>
              </w:rPr>
            </w:pPr>
          </w:p>
        </w:tc>
      </w:tr>
    </w:tbl>
    <w:p w14:paraId="1DEECAAE" w14:textId="77777777" w:rsidR="0006126E" w:rsidRPr="001F49D3" w:rsidRDefault="0006126E" w:rsidP="0006126E">
      <w:pPr>
        <w:rPr>
          <w:sz w:val="22"/>
          <w:szCs w:val="22"/>
          <w:lang w:val="fr-BE"/>
        </w:rPr>
      </w:pPr>
    </w:p>
    <w:p w14:paraId="6CE228D6" w14:textId="77777777" w:rsidR="0006126E" w:rsidRPr="001F49D3" w:rsidRDefault="0006126E" w:rsidP="0006126E">
      <w:pPr>
        <w:rPr>
          <w:sz w:val="22"/>
          <w:szCs w:val="22"/>
          <w:lang w:val="fr-BE"/>
        </w:rPr>
      </w:pPr>
    </w:p>
    <w:p w14:paraId="60012975" w14:textId="77777777" w:rsidR="006D5715" w:rsidRPr="001F49D3" w:rsidRDefault="006D5715">
      <w:pPr>
        <w:rPr>
          <w:lang w:val="fr-BE"/>
        </w:rPr>
      </w:pPr>
    </w:p>
    <w:sectPr w:rsidR="006D5715" w:rsidRPr="001F4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D2F1D"/>
    <w:multiLevelType w:val="multilevel"/>
    <w:tmpl w:val="6DF01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74071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6E"/>
    <w:rsid w:val="0006126E"/>
    <w:rsid w:val="00191FCA"/>
    <w:rsid w:val="001F49D3"/>
    <w:rsid w:val="006D5715"/>
    <w:rsid w:val="007B0893"/>
    <w:rsid w:val="008F466D"/>
    <w:rsid w:val="00964851"/>
    <w:rsid w:val="00B75DB0"/>
    <w:rsid w:val="00BB0628"/>
    <w:rsid w:val="00FA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A609"/>
  <w15:chartTrackingRefBased/>
  <w15:docId w15:val="{6A1E9766-B741-439F-8172-B579DF0E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26E"/>
    <w:pPr>
      <w:spacing w:after="0" w:line="240" w:lineRule="auto"/>
    </w:pPr>
    <w:rPr>
      <w:rFonts w:ascii="Aptos" w:hAnsi="Aptos" w:cs="Aptos"/>
      <w:kern w:val="0"/>
      <w14:ligatures w14:val="none"/>
    </w:rPr>
  </w:style>
  <w:style w:type="paragraph" w:styleId="Titre1">
    <w:name w:val="heading 1"/>
    <w:basedOn w:val="Normal"/>
    <w:next w:val="Normal"/>
    <w:link w:val="Titre1Car"/>
    <w:uiPriority w:val="9"/>
    <w:qFormat/>
    <w:rsid w:val="00061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1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12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12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12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126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126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126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126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12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12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12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12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12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12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12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12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126E"/>
    <w:rPr>
      <w:rFonts w:eastAsiaTheme="majorEastAsia" w:cstheme="majorBidi"/>
      <w:color w:val="272727" w:themeColor="text1" w:themeTint="D8"/>
    </w:rPr>
  </w:style>
  <w:style w:type="paragraph" w:styleId="Titre">
    <w:name w:val="Title"/>
    <w:basedOn w:val="Normal"/>
    <w:next w:val="Normal"/>
    <w:link w:val="TitreCar"/>
    <w:uiPriority w:val="10"/>
    <w:qFormat/>
    <w:rsid w:val="0006126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12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12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12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126E"/>
    <w:pPr>
      <w:spacing w:before="160"/>
      <w:jc w:val="center"/>
    </w:pPr>
    <w:rPr>
      <w:i/>
      <w:iCs/>
      <w:color w:val="404040" w:themeColor="text1" w:themeTint="BF"/>
    </w:rPr>
  </w:style>
  <w:style w:type="character" w:customStyle="1" w:styleId="CitationCar">
    <w:name w:val="Citation Car"/>
    <w:basedOn w:val="Policepardfaut"/>
    <w:link w:val="Citation"/>
    <w:uiPriority w:val="29"/>
    <w:rsid w:val="0006126E"/>
    <w:rPr>
      <w:i/>
      <w:iCs/>
      <w:color w:val="404040" w:themeColor="text1" w:themeTint="BF"/>
    </w:rPr>
  </w:style>
  <w:style w:type="paragraph" w:styleId="Paragraphedeliste">
    <w:name w:val="List Paragraph"/>
    <w:basedOn w:val="Normal"/>
    <w:uiPriority w:val="34"/>
    <w:qFormat/>
    <w:rsid w:val="0006126E"/>
    <w:pPr>
      <w:ind w:left="720"/>
      <w:contextualSpacing/>
    </w:pPr>
  </w:style>
  <w:style w:type="character" w:styleId="Accentuationintense">
    <w:name w:val="Intense Emphasis"/>
    <w:basedOn w:val="Policepardfaut"/>
    <w:uiPriority w:val="21"/>
    <w:qFormat/>
    <w:rsid w:val="0006126E"/>
    <w:rPr>
      <w:i/>
      <w:iCs/>
      <w:color w:val="0F4761" w:themeColor="accent1" w:themeShade="BF"/>
    </w:rPr>
  </w:style>
  <w:style w:type="paragraph" w:styleId="Citationintense">
    <w:name w:val="Intense Quote"/>
    <w:basedOn w:val="Normal"/>
    <w:next w:val="Normal"/>
    <w:link w:val="CitationintenseCar"/>
    <w:uiPriority w:val="30"/>
    <w:qFormat/>
    <w:rsid w:val="00061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126E"/>
    <w:rPr>
      <w:i/>
      <w:iCs/>
      <w:color w:val="0F4761" w:themeColor="accent1" w:themeShade="BF"/>
    </w:rPr>
  </w:style>
  <w:style w:type="character" w:styleId="Rfrenceintense">
    <w:name w:val="Intense Reference"/>
    <w:basedOn w:val="Policepardfaut"/>
    <w:uiPriority w:val="32"/>
    <w:qFormat/>
    <w:rsid w:val="0006126E"/>
    <w:rPr>
      <w:b/>
      <w:bCs/>
      <w:smallCaps/>
      <w:color w:val="0F4761" w:themeColor="accent1" w:themeShade="BF"/>
      <w:spacing w:val="5"/>
    </w:rPr>
  </w:style>
  <w:style w:type="character" w:styleId="Lienhypertexte">
    <w:name w:val="Hyperlink"/>
    <w:basedOn w:val="Policepardfaut"/>
    <w:uiPriority w:val="99"/>
    <w:semiHidden/>
    <w:unhideWhenUsed/>
    <w:rsid w:val="000612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f-feph.us9.list-manage.com/track/click?u=865a5bbea1086c57a41cc876d&amp;id=b2bef325e1&amp;e=9a41aa8e39" TargetMode="External"/><Relationship Id="rId3" Type="http://schemas.openxmlformats.org/officeDocument/2006/relationships/settings" Target="settings.xml"/><Relationship Id="rId7" Type="http://schemas.openxmlformats.org/officeDocument/2006/relationships/hyperlink" Target="https://edf-feph.us9.list-manage.com/track/click?u=865a5bbea1086c57a41cc876d&amp;id=fe461697f0&amp;e=9a41aa8e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f-feph.us9.list-manage.com/track/click?u=865a5bbea1086c57a41cc876d&amp;id=f7ecd41dde&amp;e=9a41aa8e39" TargetMode="External"/><Relationship Id="rId11" Type="http://schemas.openxmlformats.org/officeDocument/2006/relationships/theme" Target="theme/theme1.xml"/><Relationship Id="rId5" Type="http://schemas.openxmlformats.org/officeDocument/2006/relationships/hyperlink" Target="https://edf-feph.us9.list-manage.com/track/click?u=865a5bbea1086c57a41cc876d&amp;id=ae7763cdbd&amp;e=9a41aa8e3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f-feph.us9.list-manage.com/track/click?u=865a5bbea1086c57a41cc876d&amp;id=08fa8fa068&amp;e=9a41aa8e3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3049</Characters>
  <Application>Microsoft Office Word</Application>
  <DocSecurity>4</DocSecurity>
  <Lines>72</Lines>
  <Paragraphs>14</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Berlanger Marjorie</dc:creator>
  <cp:keywords>, docId:3691848626B59EC6AAB5E82A2469642E</cp:keywords>
  <dc:description/>
  <cp:lastModifiedBy>Duchenne Véronique</cp:lastModifiedBy>
  <cp:revision>2</cp:revision>
  <dcterms:created xsi:type="dcterms:W3CDTF">2026-05-07T07:28:00Z</dcterms:created>
  <dcterms:modified xsi:type="dcterms:W3CDTF">2026-05-07T07:28:00Z</dcterms:modified>
</cp:coreProperties>
</file>