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BF" w:rsidRPr="001647C1" w:rsidRDefault="00C52BBF" w:rsidP="00AF25AE">
      <w:pPr>
        <w:pBdr>
          <w:top w:val="single" w:sz="4" w:space="1" w:color="auto"/>
          <w:left w:val="single" w:sz="4" w:space="4" w:color="auto"/>
          <w:bottom w:val="single" w:sz="4" w:space="1" w:color="auto"/>
          <w:right w:val="single" w:sz="4" w:space="4" w:color="auto"/>
        </w:pBdr>
        <w:spacing w:before="240"/>
        <w:jc w:val="center"/>
        <w:rPr>
          <w:b/>
          <w:sz w:val="28"/>
          <w:szCs w:val="28"/>
          <w:lang w:val="fr-BE"/>
        </w:rPr>
      </w:pPr>
      <w:r w:rsidRPr="001647C1">
        <w:rPr>
          <w:b/>
          <w:sz w:val="28"/>
          <w:szCs w:val="28"/>
          <w:lang w:val="fr-BE"/>
        </w:rPr>
        <w:t>Rencontre Commissaire Marianne THYSSEN – BDF et EDF</w:t>
      </w:r>
    </w:p>
    <w:p w:rsidR="00C52BBF" w:rsidRPr="001647C1" w:rsidRDefault="00C52BBF" w:rsidP="00AF25AE">
      <w:pPr>
        <w:pBdr>
          <w:top w:val="single" w:sz="4" w:space="1" w:color="auto"/>
          <w:left w:val="single" w:sz="4" w:space="4" w:color="auto"/>
          <w:bottom w:val="single" w:sz="4" w:space="1" w:color="auto"/>
          <w:right w:val="single" w:sz="4" w:space="4" w:color="auto"/>
        </w:pBdr>
        <w:spacing w:after="600"/>
        <w:jc w:val="center"/>
        <w:rPr>
          <w:b/>
          <w:sz w:val="28"/>
          <w:szCs w:val="28"/>
          <w:lang w:val="fr-BE"/>
        </w:rPr>
      </w:pPr>
      <w:r w:rsidRPr="001647C1">
        <w:rPr>
          <w:b/>
          <w:sz w:val="28"/>
          <w:szCs w:val="28"/>
          <w:lang w:val="fr-BE"/>
        </w:rPr>
        <w:t>20 avril 2015</w:t>
      </w:r>
      <w:r w:rsidR="00577B2D" w:rsidRPr="001647C1">
        <w:rPr>
          <w:b/>
          <w:sz w:val="28"/>
          <w:szCs w:val="28"/>
          <w:lang w:val="fr-BE"/>
        </w:rPr>
        <w:t xml:space="preserve"> </w:t>
      </w:r>
      <w:r w:rsidRPr="001647C1">
        <w:rPr>
          <w:b/>
          <w:sz w:val="28"/>
          <w:szCs w:val="28"/>
          <w:lang w:val="fr-BE"/>
        </w:rPr>
        <w:t>-</w:t>
      </w:r>
      <w:r w:rsidR="00577B2D" w:rsidRPr="001647C1">
        <w:rPr>
          <w:b/>
          <w:sz w:val="28"/>
          <w:szCs w:val="28"/>
          <w:lang w:val="fr-BE"/>
        </w:rPr>
        <w:t xml:space="preserve"> </w:t>
      </w:r>
      <w:r w:rsidRPr="001647C1">
        <w:rPr>
          <w:b/>
          <w:sz w:val="28"/>
          <w:szCs w:val="28"/>
          <w:lang w:val="fr-BE"/>
        </w:rPr>
        <w:t>16h30 à 17h30</w:t>
      </w:r>
    </w:p>
    <w:p w:rsidR="00577B2D" w:rsidRDefault="00577B2D" w:rsidP="00E908DE">
      <w:pPr>
        <w:spacing w:after="600"/>
        <w:rPr>
          <w:i/>
          <w:iCs/>
          <w:lang w:val="fr-FR"/>
        </w:rPr>
      </w:pPr>
      <w:r w:rsidRPr="001647C1">
        <w:rPr>
          <w:b/>
          <w:i/>
          <w:sz w:val="28"/>
          <w:szCs w:val="28"/>
          <w:u w:val="single"/>
          <w:lang w:val="fr-FR"/>
        </w:rPr>
        <w:t>L'accès au parking</w:t>
      </w:r>
      <w:r w:rsidRPr="00577B2D">
        <w:rPr>
          <w:lang w:val="fr-FR"/>
        </w:rPr>
        <w:t xml:space="preserve"> est derrière le bâtiment </w:t>
      </w:r>
      <w:proofErr w:type="spellStart"/>
      <w:r w:rsidRPr="00577B2D">
        <w:rPr>
          <w:lang w:val="fr-FR"/>
        </w:rPr>
        <w:t>Berlaymont</w:t>
      </w:r>
      <w:proofErr w:type="spellEnd"/>
      <w:r w:rsidRPr="00577B2D">
        <w:rPr>
          <w:i/>
          <w:iCs/>
          <w:lang w:val="fr-FR"/>
        </w:rPr>
        <w:t xml:space="preserve"> – </w:t>
      </w:r>
      <w:r w:rsidRPr="00577B2D">
        <w:rPr>
          <w:lang w:val="fr-FR"/>
        </w:rPr>
        <w:t xml:space="preserve">au coin du </w:t>
      </w:r>
      <w:r w:rsidRPr="00577B2D">
        <w:rPr>
          <w:i/>
          <w:iCs/>
          <w:lang w:val="fr-FR"/>
        </w:rPr>
        <w:t>boulevard Charlemagne</w:t>
      </w:r>
      <w:r w:rsidRPr="00577B2D">
        <w:rPr>
          <w:lang w:val="fr-FR"/>
        </w:rPr>
        <w:t xml:space="preserve"> et le </w:t>
      </w:r>
      <w:r w:rsidRPr="00577B2D">
        <w:rPr>
          <w:i/>
          <w:iCs/>
          <w:lang w:val="fr-FR"/>
        </w:rPr>
        <w:t>rue Stevin</w:t>
      </w:r>
      <w:r>
        <w:rPr>
          <w:i/>
          <w:iCs/>
          <w:lang w:val="fr-FR"/>
        </w:rPr>
        <w:t>.</w:t>
      </w:r>
    </w:p>
    <w:p w:rsidR="00577B2D" w:rsidRDefault="00577B2D" w:rsidP="00577B2D">
      <w:pPr>
        <w:rPr>
          <w:i/>
          <w:iCs/>
          <w:lang w:val="fr-FR"/>
        </w:rPr>
      </w:pPr>
      <w:r w:rsidRPr="001647C1">
        <w:rPr>
          <w:b/>
          <w:i/>
          <w:iCs/>
          <w:sz w:val="28"/>
          <w:szCs w:val="28"/>
          <w:u w:val="single"/>
          <w:lang w:val="fr-FR"/>
        </w:rPr>
        <w:t>Personne de contact EC</w:t>
      </w:r>
      <w:r>
        <w:rPr>
          <w:i/>
          <w:iCs/>
          <w:lang w:val="fr-FR"/>
        </w:rPr>
        <w:t xml:space="preserve"> : </w:t>
      </w:r>
    </w:p>
    <w:p w:rsidR="00577B2D" w:rsidRPr="00577B2D" w:rsidRDefault="00570119" w:rsidP="00577B2D">
      <w:pPr>
        <w:rPr>
          <w:b/>
          <w:bCs/>
          <w:i/>
          <w:iCs/>
          <w:lang w:val="pt-PT"/>
        </w:rPr>
      </w:pPr>
      <w:hyperlink r:id="rId9" w:history="1">
        <w:r w:rsidR="00577B2D" w:rsidRPr="00577B2D">
          <w:rPr>
            <w:rStyle w:val="Hyperlink"/>
            <w:b/>
            <w:bCs/>
            <w:i/>
            <w:iCs/>
            <w:lang w:val="pt-PT"/>
          </w:rPr>
          <w:t>Jessica.WILLIAMS@ec.europa.eu</w:t>
        </w:r>
      </w:hyperlink>
    </w:p>
    <w:p w:rsidR="00577B2D" w:rsidRPr="00577B2D" w:rsidRDefault="00577B2D" w:rsidP="00577B2D">
      <w:pPr>
        <w:rPr>
          <w:i/>
          <w:iCs/>
          <w:lang w:val="pt-PT"/>
        </w:rPr>
      </w:pPr>
      <w:r w:rsidRPr="00577B2D">
        <w:rPr>
          <w:i/>
          <w:iCs/>
          <w:lang w:val="pt-PT"/>
        </w:rPr>
        <w:t>BERL 10/378, B-1049 Bruxelles</w:t>
      </w:r>
    </w:p>
    <w:p w:rsidR="00577B2D" w:rsidRPr="00577B2D" w:rsidRDefault="00577B2D" w:rsidP="00E908DE">
      <w:pPr>
        <w:spacing w:after="600"/>
        <w:rPr>
          <w:i/>
          <w:iCs/>
          <w:lang w:val="pt-PT"/>
        </w:rPr>
      </w:pPr>
      <w:r w:rsidRPr="00577B2D">
        <w:rPr>
          <w:i/>
          <w:iCs/>
          <w:lang w:val="pt-PT"/>
        </w:rPr>
        <w:t>Tel: +32229 50002</w:t>
      </w:r>
    </w:p>
    <w:p w:rsidR="00C52BBF" w:rsidRPr="001647C1" w:rsidRDefault="00C52BBF" w:rsidP="00C52BBF">
      <w:pPr>
        <w:rPr>
          <w:b/>
          <w:i/>
          <w:sz w:val="28"/>
          <w:szCs w:val="28"/>
          <w:u w:val="single"/>
          <w:lang w:val="fr-BE"/>
        </w:rPr>
      </w:pPr>
      <w:r w:rsidRPr="001647C1">
        <w:rPr>
          <w:b/>
          <w:i/>
          <w:sz w:val="28"/>
          <w:szCs w:val="28"/>
          <w:u w:val="single"/>
          <w:lang w:val="fr-BE"/>
        </w:rPr>
        <w:t xml:space="preserve">Participants </w:t>
      </w:r>
    </w:p>
    <w:p w:rsidR="00577B2D" w:rsidRPr="00577B2D" w:rsidRDefault="00577B2D" w:rsidP="00E45384">
      <w:pPr>
        <w:ind w:left="284"/>
        <w:rPr>
          <w:b/>
          <w:u w:val="single"/>
          <w:lang w:val="fr-BE"/>
        </w:rPr>
      </w:pPr>
      <w:r>
        <w:rPr>
          <w:b/>
          <w:u w:val="single"/>
          <w:lang w:val="fr-BE"/>
        </w:rPr>
        <w:t>Pour le BDF</w:t>
      </w:r>
    </w:p>
    <w:p w:rsidR="00C52BBF" w:rsidRDefault="00C52BBF" w:rsidP="00C52BBF">
      <w:pPr>
        <w:pStyle w:val="ListParagraph"/>
        <w:numPr>
          <w:ilvl w:val="0"/>
          <w:numId w:val="3"/>
        </w:numPr>
        <w:rPr>
          <w:rFonts w:ascii="Calibri" w:hAnsi="Calibri"/>
          <w:color w:val="1F497D"/>
          <w:sz w:val="22"/>
          <w:szCs w:val="22"/>
          <w:lang w:val="fr-BE"/>
        </w:rPr>
      </w:pPr>
      <w:r>
        <w:rPr>
          <w:rFonts w:ascii="Calibri" w:hAnsi="Calibri"/>
          <w:color w:val="1F497D"/>
          <w:sz w:val="22"/>
          <w:szCs w:val="22"/>
          <w:lang w:val="fr-FR"/>
        </w:rPr>
        <w:t>M</w:t>
      </w:r>
      <w:r w:rsidR="00E908DE">
        <w:rPr>
          <w:rFonts w:ascii="Calibri" w:hAnsi="Calibri"/>
          <w:color w:val="1F497D"/>
          <w:sz w:val="22"/>
          <w:szCs w:val="22"/>
          <w:lang w:val="fr-FR"/>
        </w:rPr>
        <w:t>.</w:t>
      </w:r>
      <w:r>
        <w:rPr>
          <w:rFonts w:ascii="Calibri" w:hAnsi="Calibri"/>
          <w:color w:val="1F497D"/>
          <w:sz w:val="22"/>
          <w:szCs w:val="22"/>
          <w:lang w:val="fr-FR"/>
        </w:rPr>
        <w:t xml:space="preserve"> Gyselinck, Président</w:t>
      </w:r>
    </w:p>
    <w:p w:rsidR="00C52BBF" w:rsidRDefault="00C52BBF" w:rsidP="00C52BBF">
      <w:pPr>
        <w:pStyle w:val="ListParagraph"/>
        <w:numPr>
          <w:ilvl w:val="0"/>
          <w:numId w:val="3"/>
        </w:numPr>
        <w:rPr>
          <w:rFonts w:ascii="Calibri" w:hAnsi="Calibri"/>
          <w:color w:val="1F497D"/>
          <w:sz w:val="22"/>
          <w:szCs w:val="22"/>
          <w:lang w:val="fr-BE"/>
        </w:rPr>
      </w:pPr>
      <w:r>
        <w:rPr>
          <w:rFonts w:ascii="Calibri" w:hAnsi="Calibri"/>
          <w:color w:val="1F497D"/>
          <w:sz w:val="22"/>
          <w:szCs w:val="22"/>
          <w:lang w:val="fr-FR"/>
        </w:rPr>
        <w:t>M</w:t>
      </w:r>
      <w:r w:rsidR="00E908DE">
        <w:rPr>
          <w:rFonts w:ascii="Calibri" w:hAnsi="Calibri"/>
          <w:color w:val="1F497D"/>
          <w:sz w:val="22"/>
          <w:szCs w:val="22"/>
          <w:lang w:val="fr-FR"/>
        </w:rPr>
        <w:t>me</w:t>
      </w:r>
      <w:r>
        <w:rPr>
          <w:rFonts w:ascii="Calibri" w:hAnsi="Calibri"/>
          <w:color w:val="1F497D"/>
          <w:sz w:val="22"/>
          <w:szCs w:val="22"/>
          <w:lang w:val="fr-FR"/>
        </w:rPr>
        <w:t xml:space="preserve"> </w:t>
      </w:r>
      <w:proofErr w:type="spellStart"/>
      <w:r>
        <w:rPr>
          <w:rFonts w:ascii="Calibri" w:hAnsi="Calibri"/>
          <w:color w:val="1F497D"/>
          <w:sz w:val="22"/>
          <w:szCs w:val="22"/>
          <w:lang w:val="fr-FR"/>
        </w:rPr>
        <w:t>Marlière</w:t>
      </w:r>
      <w:proofErr w:type="spellEnd"/>
      <w:r>
        <w:rPr>
          <w:rFonts w:ascii="Calibri" w:hAnsi="Calibri"/>
          <w:color w:val="1F497D"/>
          <w:sz w:val="22"/>
          <w:szCs w:val="22"/>
          <w:lang w:val="fr-FR"/>
        </w:rPr>
        <w:t>, Secrétaire Générale</w:t>
      </w:r>
    </w:p>
    <w:p w:rsidR="00C52BBF" w:rsidRDefault="00C52BBF" w:rsidP="00E45384">
      <w:pPr>
        <w:pStyle w:val="ListParagraph"/>
        <w:numPr>
          <w:ilvl w:val="0"/>
          <w:numId w:val="3"/>
        </w:numPr>
        <w:spacing w:after="360"/>
        <w:ind w:left="714" w:hanging="357"/>
        <w:rPr>
          <w:rFonts w:ascii="Calibri" w:hAnsi="Calibri"/>
          <w:color w:val="1F497D"/>
          <w:sz w:val="22"/>
          <w:szCs w:val="22"/>
          <w:lang w:val="fr-BE"/>
        </w:rPr>
      </w:pPr>
      <w:r>
        <w:rPr>
          <w:rFonts w:ascii="Calibri" w:hAnsi="Calibri"/>
          <w:color w:val="1F497D"/>
          <w:sz w:val="22"/>
          <w:szCs w:val="22"/>
          <w:lang w:val="fr-FR"/>
        </w:rPr>
        <w:t>M</w:t>
      </w:r>
      <w:r w:rsidR="00E908DE">
        <w:rPr>
          <w:rFonts w:ascii="Calibri" w:hAnsi="Calibri"/>
          <w:color w:val="1F497D"/>
          <w:sz w:val="22"/>
          <w:szCs w:val="22"/>
          <w:lang w:val="fr-FR"/>
        </w:rPr>
        <w:t>.</w:t>
      </w:r>
      <w:r>
        <w:rPr>
          <w:rFonts w:ascii="Calibri" w:hAnsi="Calibri"/>
          <w:color w:val="1F497D"/>
          <w:sz w:val="22"/>
          <w:szCs w:val="22"/>
          <w:lang w:val="fr-FR"/>
        </w:rPr>
        <w:t xml:space="preserve"> Magritte, collaborateur </w:t>
      </w:r>
    </w:p>
    <w:p w:rsidR="00577B2D" w:rsidRPr="00577B2D" w:rsidRDefault="00577B2D" w:rsidP="00E45384">
      <w:pPr>
        <w:ind w:left="284"/>
        <w:rPr>
          <w:b/>
          <w:u w:val="single"/>
          <w:lang w:val="fr-BE"/>
        </w:rPr>
      </w:pPr>
      <w:r w:rsidRPr="00577B2D">
        <w:rPr>
          <w:b/>
          <w:u w:val="single"/>
          <w:lang w:val="fr-BE"/>
        </w:rPr>
        <w:t>Pour l’EDF</w:t>
      </w:r>
    </w:p>
    <w:p w:rsidR="00C52BBF" w:rsidRDefault="00E908DE" w:rsidP="00C52BBF">
      <w:pPr>
        <w:pStyle w:val="ListParagraph"/>
        <w:numPr>
          <w:ilvl w:val="0"/>
          <w:numId w:val="3"/>
        </w:numPr>
        <w:rPr>
          <w:rFonts w:ascii="Calibri" w:hAnsi="Calibri"/>
          <w:color w:val="1F497D"/>
          <w:sz w:val="22"/>
          <w:szCs w:val="22"/>
          <w:lang w:val="fr-FR"/>
        </w:rPr>
      </w:pPr>
      <w:r>
        <w:rPr>
          <w:rFonts w:ascii="Calibri" w:hAnsi="Calibri"/>
          <w:color w:val="1F497D"/>
          <w:sz w:val="22"/>
          <w:szCs w:val="22"/>
          <w:lang w:val="fr-FR"/>
        </w:rPr>
        <w:t xml:space="preserve">M. </w:t>
      </w:r>
      <w:r w:rsidR="00C52BBF">
        <w:rPr>
          <w:rFonts w:ascii="Calibri" w:hAnsi="Calibri"/>
          <w:color w:val="1F497D"/>
          <w:sz w:val="22"/>
          <w:szCs w:val="22"/>
          <w:lang w:val="fr-FR"/>
        </w:rPr>
        <w:t>Yannis Vardakastanis, Président</w:t>
      </w:r>
    </w:p>
    <w:p w:rsidR="00C52BBF" w:rsidRDefault="00E908DE" w:rsidP="00C52BBF">
      <w:pPr>
        <w:pStyle w:val="ListParagraph"/>
        <w:numPr>
          <w:ilvl w:val="0"/>
          <w:numId w:val="3"/>
        </w:numPr>
        <w:rPr>
          <w:rFonts w:ascii="Calibri" w:hAnsi="Calibri"/>
          <w:color w:val="1F497D"/>
          <w:sz w:val="22"/>
          <w:szCs w:val="22"/>
          <w:lang w:val="fr-FR"/>
        </w:rPr>
      </w:pPr>
      <w:r>
        <w:rPr>
          <w:rFonts w:ascii="Calibri" w:hAnsi="Calibri"/>
          <w:color w:val="1F497D"/>
          <w:sz w:val="22"/>
          <w:szCs w:val="22"/>
          <w:lang w:val="fr-FR"/>
        </w:rPr>
        <w:t xml:space="preserve">Mme </w:t>
      </w:r>
      <w:r w:rsidR="00C52BBF">
        <w:rPr>
          <w:rFonts w:ascii="Calibri" w:hAnsi="Calibri"/>
          <w:color w:val="1F497D"/>
          <w:sz w:val="22"/>
          <w:szCs w:val="22"/>
          <w:lang w:val="fr-FR"/>
        </w:rPr>
        <w:t>Catherine Naughton, Directrice</w:t>
      </w:r>
    </w:p>
    <w:p w:rsidR="00C52BBF" w:rsidRDefault="00E908DE" w:rsidP="00C52BBF">
      <w:pPr>
        <w:pStyle w:val="ListParagraph"/>
        <w:numPr>
          <w:ilvl w:val="0"/>
          <w:numId w:val="3"/>
        </w:numPr>
        <w:rPr>
          <w:rFonts w:ascii="Calibri" w:hAnsi="Calibri"/>
          <w:color w:val="1F497D"/>
          <w:sz w:val="22"/>
          <w:szCs w:val="22"/>
          <w:lang w:val="fr-FR"/>
        </w:rPr>
      </w:pPr>
      <w:r>
        <w:rPr>
          <w:rFonts w:ascii="Calibri" w:hAnsi="Calibri"/>
          <w:color w:val="1F497D"/>
          <w:sz w:val="22"/>
          <w:szCs w:val="22"/>
          <w:lang w:val="fr-FR"/>
        </w:rPr>
        <w:t xml:space="preserve">Mme </w:t>
      </w:r>
      <w:r w:rsidR="00C52BBF">
        <w:rPr>
          <w:rFonts w:ascii="Calibri" w:hAnsi="Calibri"/>
          <w:color w:val="1F497D"/>
          <w:sz w:val="22"/>
          <w:szCs w:val="22"/>
          <w:lang w:val="fr-FR"/>
        </w:rPr>
        <w:t>An Sophie Leenknecht, collaboratrice</w:t>
      </w:r>
    </w:p>
    <w:p w:rsidR="00C52BBF" w:rsidRDefault="00E908DE" w:rsidP="00C52BBF">
      <w:pPr>
        <w:pStyle w:val="ListParagraph"/>
        <w:numPr>
          <w:ilvl w:val="0"/>
          <w:numId w:val="3"/>
        </w:numPr>
        <w:rPr>
          <w:rFonts w:ascii="Calibri" w:hAnsi="Calibri"/>
          <w:color w:val="1F497D"/>
          <w:sz w:val="22"/>
          <w:szCs w:val="22"/>
          <w:lang w:val="fr-FR"/>
        </w:rPr>
      </w:pPr>
      <w:r>
        <w:rPr>
          <w:rFonts w:ascii="Calibri" w:hAnsi="Calibri"/>
          <w:color w:val="1F497D"/>
          <w:sz w:val="22"/>
          <w:szCs w:val="22"/>
          <w:lang w:val="fr-FR"/>
        </w:rPr>
        <w:t xml:space="preserve">Mme </w:t>
      </w:r>
      <w:r w:rsidR="00C52BBF">
        <w:rPr>
          <w:rFonts w:ascii="Calibri" w:hAnsi="Calibri"/>
          <w:color w:val="1F497D"/>
          <w:sz w:val="22"/>
          <w:szCs w:val="22"/>
          <w:lang w:val="fr-FR"/>
        </w:rPr>
        <w:t xml:space="preserve">Simona </w:t>
      </w:r>
      <w:proofErr w:type="spellStart"/>
      <w:r w:rsidR="00C52BBF">
        <w:rPr>
          <w:rFonts w:ascii="Calibri" w:hAnsi="Calibri"/>
          <w:color w:val="1F497D"/>
          <w:sz w:val="22"/>
          <w:szCs w:val="22"/>
          <w:lang w:val="fr-FR"/>
        </w:rPr>
        <w:t>Giarratano</w:t>
      </w:r>
      <w:proofErr w:type="spellEnd"/>
      <w:r w:rsidR="00C52BBF">
        <w:rPr>
          <w:rFonts w:ascii="Calibri" w:hAnsi="Calibri"/>
          <w:color w:val="1F497D"/>
          <w:sz w:val="22"/>
          <w:szCs w:val="22"/>
          <w:lang w:val="fr-FR"/>
        </w:rPr>
        <w:t xml:space="preserve">, </w:t>
      </w:r>
      <w:proofErr w:type="spellStart"/>
      <w:r w:rsidR="00C52BBF">
        <w:rPr>
          <w:rFonts w:ascii="Calibri" w:hAnsi="Calibri"/>
          <w:color w:val="1F497D"/>
          <w:sz w:val="22"/>
          <w:szCs w:val="22"/>
          <w:lang w:val="fr-FR"/>
        </w:rPr>
        <w:t>collaboratice</w:t>
      </w:r>
      <w:proofErr w:type="spellEnd"/>
    </w:p>
    <w:p w:rsidR="00C52BBF" w:rsidRDefault="00C52BBF" w:rsidP="00C52BBF">
      <w:pPr>
        <w:rPr>
          <w:rFonts w:ascii="Calibri" w:hAnsi="Calibri"/>
          <w:color w:val="1F497D"/>
          <w:lang w:val="fr-BE"/>
        </w:rPr>
      </w:pPr>
    </w:p>
    <w:p w:rsidR="00577B2D" w:rsidRPr="001647C1" w:rsidRDefault="00577B2D" w:rsidP="00C52BBF">
      <w:pPr>
        <w:rPr>
          <w:b/>
          <w:i/>
          <w:sz w:val="28"/>
          <w:szCs w:val="28"/>
          <w:u w:val="single"/>
          <w:lang w:val="fr-BE"/>
        </w:rPr>
      </w:pPr>
      <w:r w:rsidRPr="001647C1">
        <w:rPr>
          <w:b/>
          <w:i/>
          <w:sz w:val="28"/>
          <w:szCs w:val="28"/>
          <w:u w:val="single"/>
          <w:lang w:val="fr-BE"/>
        </w:rPr>
        <w:t>Ordre du jour communiqué par mail du 3 mars 2015</w:t>
      </w:r>
    </w:p>
    <w:p w:rsidR="00C52BBF" w:rsidRPr="001A0224" w:rsidRDefault="00C52BBF" w:rsidP="001A0224">
      <w:pPr>
        <w:numPr>
          <w:ilvl w:val="0"/>
          <w:numId w:val="1"/>
        </w:numPr>
        <w:spacing w:before="100" w:beforeAutospacing="1" w:after="100" w:afterAutospacing="1" w:line="240" w:lineRule="auto"/>
        <w:ind w:hanging="357"/>
        <w:rPr>
          <w:i/>
          <w:sz w:val="24"/>
          <w:szCs w:val="24"/>
          <w:lang w:val="fr-BE"/>
        </w:rPr>
      </w:pPr>
      <w:r w:rsidRPr="001A0224">
        <w:rPr>
          <w:i/>
          <w:sz w:val="24"/>
          <w:szCs w:val="24"/>
        </w:rPr>
        <w:t xml:space="preserve">UNCRPD </w:t>
      </w:r>
    </w:p>
    <w:p w:rsidR="001A0224" w:rsidRPr="001A0224" w:rsidRDefault="00C52BBF" w:rsidP="001A0224">
      <w:pPr>
        <w:numPr>
          <w:ilvl w:val="1"/>
          <w:numId w:val="1"/>
        </w:numPr>
        <w:spacing w:before="100" w:beforeAutospacing="1" w:after="100" w:afterAutospacing="1" w:line="240" w:lineRule="auto"/>
        <w:ind w:hanging="357"/>
        <w:rPr>
          <w:i/>
          <w:sz w:val="24"/>
          <w:szCs w:val="24"/>
          <w:lang w:val="fr-BE"/>
        </w:rPr>
      </w:pPr>
      <w:r w:rsidRPr="001A0224">
        <w:rPr>
          <w:i/>
          <w:sz w:val="24"/>
          <w:szCs w:val="24"/>
          <w:lang w:val="fr-BE"/>
        </w:rPr>
        <w:t>Mise en œuvre par la Commission européenne</w:t>
      </w:r>
    </w:p>
    <w:p w:rsidR="00C52BBF" w:rsidRPr="001A0224" w:rsidRDefault="00C52BBF" w:rsidP="001A0224">
      <w:pPr>
        <w:numPr>
          <w:ilvl w:val="1"/>
          <w:numId w:val="1"/>
        </w:numPr>
        <w:spacing w:before="100" w:beforeAutospacing="1" w:after="100" w:afterAutospacing="1" w:line="240" w:lineRule="auto"/>
        <w:rPr>
          <w:i/>
          <w:sz w:val="24"/>
          <w:szCs w:val="24"/>
          <w:lang w:val="fr-FR"/>
        </w:rPr>
      </w:pPr>
      <w:r w:rsidRPr="001A0224">
        <w:rPr>
          <w:i/>
          <w:sz w:val="24"/>
          <w:szCs w:val="24"/>
          <w:lang w:val="fr-FR"/>
        </w:rPr>
        <w:t xml:space="preserve">Focal Point au sein de la Commission européenne </w:t>
      </w:r>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t xml:space="preserve">The </w:t>
      </w:r>
      <w:proofErr w:type="spellStart"/>
      <w:r w:rsidRPr="001A0224">
        <w:rPr>
          <w:i/>
          <w:sz w:val="24"/>
          <w:szCs w:val="24"/>
          <w:lang w:val="fr-BE"/>
        </w:rPr>
        <w:t>European</w:t>
      </w:r>
      <w:proofErr w:type="spellEnd"/>
      <w:r w:rsidRPr="001A0224">
        <w:rPr>
          <w:i/>
          <w:sz w:val="24"/>
          <w:szCs w:val="24"/>
          <w:lang w:val="fr-BE"/>
        </w:rPr>
        <w:t xml:space="preserve"> </w:t>
      </w:r>
      <w:proofErr w:type="spellStart"/>
      <w:r w:rsidRPr="001A0224">
        <w:rPr>
          <w:i/>
          <w:sz w:val="24"/>
          <w:szCs w:val="24"/>
          <w:lang w:val="fr-BE"/>
        </w:rPr>
        <w:t>Accessibility</w:t>
      </w:r>
      <w:proofErr w:type="spellEnd"/>
      <w:r w:rsidRPr="001A0224">
        <w:rPr>
          <w:i/>
          <w:sz w:val="24"/>
          <w:szCs w:val="24"/>
          <w:lang w:val="fr-BE"/>
        </w:rPr>
        <w:t xml:space="preserve"> </w:t>
      </w:r>
      <w:proofErr w:type="spellStart"/>
      <w:r w:rsidRPr="001A0224">
        <w:rPr>
          <w:i/>
          <w:sz w:val="24"/>
          <w:szCs w:val="24"/>
          <w:lang w:val="fr-BE"/>
        </w:rPr>
        <w:t>Act</w:t>
      </w:r>
      <w:proofErr w:type="spellEnd"/>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t xml:space="preserve">La carte de mobilité pour les personnes handicapées </w:t>
      </w:r>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t xml:space="preserve">Europe 2020  : rapportage semestriel et impact de la crise sur les personnes handicapées </w:t>
      </w:r>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t xml:space="preserve">Implémentation du </w:t>
      </w:r>
      <w:proofErr w:type="spellStart"/>
      <w:r w:rsidRPr="001A0224">
        <w:rPr>
          <w:i/>
          <w:sz w:val="24"/>
          <w:szCs w:val="24"/>
          <w:lang w:val="fr-BE"/>
        </w:rPr>
        <w:t>handistreaming</w:t>
      </w:r>
      <w:proofErr w:type="spellEnd"/>
      <w:r w:rsidRPr="001A0224">
        <w:rPr>
          <w:i/>
          <w:sz w:val="24"/>
          <w:szCs w:val="24"/>
          <w:lang w:val="fr-BE"/>
        </w:rPr>
        <w:t xml:space="preserve"> dans les Fonds structurels et Sociaux européens </w:t>
      </w:r>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t>Lignes directrices “emploi”</w:t>
      </w:r>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lastRenderedPageBreak/>
        <w:t>le projet de directive transversal</w:t>
      </w:r>
      <w:r w:rsidR="009E536C">
        <w:rPr>
          <w:i/>
          <w:sz w:val="24"/>
          <w:szCs w:val="24"/>
          <w:lang w:val="fr-BE"/>
        </w:rPr>
        <w:t>e</w:t>
      </w:r>
      <w:r w:rsidRPr="001A0224">
        <w:rPr>
          <w:i/>
          <w:sz w:val="24"/>
          <w:szCs w:val="24"/>
          <w:lang w:val="fr-BE"/>
        </w:rPr>
        <w:t xml:space="preserve"> en application de l’article 19 du Traité de l’Union européenne</w:t>
      </w:r>
    </w:p>
    <w:p w:rsidR="00C52BBF" w:rsidRPr="001A0224" w:rsidRDefault="00C52BBF" w:rsidP="00C52BBF">
      <w:pPr>
        <w:rPr>
          <w:i/>
          <w:sz w:val="24"/>
          <w:szCs w:val="24"/>
          <w:lang w:val="fr-BE"/>
        </w:rPr>
      </w:pPr>
      <w:r w:rsidRPr="001A0224">
        <w:rPr>
          <w:i/>
          <w:sz w:val="24"/>
          <w:szCs w:val="24"/>
          <w:lang w:val="fr-BE"/>
        </w:rPr>
        <w:t xml:space="preserve">Compte tenu de la situation économique et sociale, nous espérons que cette réunion sera l’occasion d’approfondir en particulier les points suivants </w:t>
      </w:r>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t>L’emploi des personnes handicapées  et l’obligation des employeurs (Directive emploi à renforcer)  </w:t>
      </w:r>
    </w:p>
    <w:p w:rsidR="00C52BBF" w:rsidRPr="001A0224" w:rsidRDefault="00C52BBF" w:rsidP="001A0224">
      <w:pPr>
        <w:numPr>
          <w:ilvl w:val="0"/>
          <w:numId w:val="1"/>
        </w:numPr>
        <w:spacing w:before="100" w:beforeAutospacing="1" w:after="100" w:afterAutospacing="1" w:line="240" w:lineRule="auto"/>
        <w:rPr>
          <w:i/>
          <w:sz w:val="24"/>
          <w:szCs w:val="24"/>
          <w:lang w:val="fr-BE"/>
        </w:rPr>
      </w:pPr>
      <w:r w:rsidRPr="001A0224">
        <w:rPr>
          <w:i/>
          <w:sz w:val="24"/>
          <w:szCs w:val="24"/>
          <w:lang w:val="fr-BE"/>
        </w:rPr>
        <w:t>La protection sociale des personnes handicapées - Le pilier social de la Stratégie 2020 : pistes pour lutter contre la pauvreté et l’exclusion multidimensionnelle des personnes handicapées (accès à un revenu décent et des services minima)</w:t>
      </w:r>
    </w:p>
    <w:p w:rsidR="00C52BBF" w:rsidRPr="001A0224" w:rsidRDefault="00C52BBF" w:rsidP="00E45384">
      <w:pPr>
        <w:numPr>
          <w:ilvl w:val="0"/>
          <w:numId w:val="1"/>
        </w:numPr>
        <w:spacing w:before="100" w:beforeAutospacing="1" w:after="600" w:line="240" w:lineRule="auto"/>
        <w:ind w:left="714" w:hanging="357"/>
        <w:rPr>
          <w:i/>
          <w:sz w:val="24"/>
          <w:szCs w:val="24"/>
          <w:lang w:val="fr-BE"/>
        </w:rPr>
      </w:pPr>
      <w:r w:rsidRPr="001A0224">
        <w:rPr>
          <w:i/>
          <w:sz w:val="24"/>
          <w:szCs w:val="24"/>
          <w:lang w:val="fr-BE"/>
        </w:rPr>
        <w:t>La mise en œuvre de la carte de mobilité </w:t>
      </w:r>
    </w:p>
    <w:p w:rsidR="00577B2D" w:rsidRDefault="00577B2D">
      <w:pPr>
        <w:rPr>
          <w:b/>
          <w:i/>
          <w:sz w:val="28"/>
          <w:szCs w:val="28"/>
          <w:u w:val="single"/>
          <w:lang w:val="fr-BE"/>
        </w:rPr>
      </w:pPr>
      <w:r w:rsidRPr="001A0224">
        <w:rPr>
          <w:b/>
          <w:i/>
          <w:sz w:val="28"/>
          <w:szCs w:val="28"/>
          <w:u w:val="single"/>
          <w:lang w:val="fr-BE"/>
        </w:rPr>
        <w:t xml:space="preserve">Développements </w:t>
      </w:r>
      <w:r w:rsidR="001A0224">
        <w:rPr>
          <w:b/>
          <w:i/>
          <w:sz w:val="28"/>
          <w:szCs w:val="28"/>
          <w:u w:val="single"/>
          <w:lang w:val="fr-BE"/>
        </w:rPr>
        <w:t xml:space="preserve"> des points </w:t>
      </w:r>
    </w:p>
    <w:p w:rsidR="008A06E5" w:rsidRPr="001A0224" w:rsidRDefault="008A06E5" w:rsidP="008A06E5">
      <w:pPr>
        <w:rPr>
          <w:b/>
          <w:sz w:val="28"/>
          <w:szCs w:val="28"/>
          <w:lang w:val="fr-BE"/>
        </w:rPr>
      </w:pPr>
      <w:r w:rsidRPr="001A0224">
        <w:rPr>
          <w:b/>
          <w:sz w:val="28"/>
          <w:szCs w:val="28"/>
          <w:lang w:val="fr-BE"/>
        </w:rPr>
        <w:t xml:space="preserve">Je n’ai pas repris exactement  la structure proposée dans le mail du 3 mars mais tous les points sont abordés, en partant du fil rouge de la Convention  </w:t>
      </w:r>
    </w:p>
    <w:p w:rsidR="008A06E5" w:rsidRDefault="008A06E5" w:rsidP="00E45384">
      <w:pPr>
        <w:spacing w:after="600"/>
        <w:rPr>
          <w:b/>
          <w:sz w:val="28"/>
          <w:szCs w:val="28"/>
          <w:lang w:val="fr-BE"/>
        </w:rPr>
      </w:pPr>
      <w:r w:rsidRPr="001A0224">
        <w:rPr>
          <w:b/>
          <w:sz w:val="28"/>
          <w:szCs w:val="28"/>
          <w:lang w:val="fr-BE"/>
        </w:rPr>
        <w:t>Je propose une alternance de la prise de parole selon les sujets (précisé dans la marge par « BDF » ou « EDF » : à discuter préalablement avec EDF pour éviter cacophonie sur le moment-même </w:t>
      </w:r>
      <w:r w:rsidRPr="001A0224">
        <w:rPr>
          <w:b/>
          <w:sz w:val="28"/>
          <w:szCs w:val="28"/>
          <w:lang w:val="fr-BE"/>
        </w:rPr>
        <w:sym w:font="Wingdings" w:char="F04A"/>
      </w:r>
      <w:r w:rsidRPr="001A0224">
        <w:rPr>
          <w:b/>
          <w:sz w:val="28"/>
          <w:szCs w:val="28"/>
          <w:lang w:val="fr-BE"/>
        </w:rPr>
        <w:t xml:space="preserve"> )</w:t>
      </w:r>
    </w:p>
    <w:p w:rsidR="00577B2D" w:rsidRPr="001A0224" w:rsidRDefault="00577B2D">
      <w:pPr>
        <w:rPr>
          <w:b/>
          <w:i/>
          <w:sz w:val="28"/>
          <w:szCs w:val="28"/>
          <w:u w:val="single"/>
          <w:lang w:val="fr-BE"/>
        </w:rPr>
      </w:pPr>
      <w:r w:rsidRPr="001A0224">
        <w:rPr>
          <w:b/>
          <w:i/>
          <w:sz w:val="28"/>
          <w:szCs w:val="28"/>
          <w:u w:val="single"/>
          <w:lang w:val="fr-BE"/>
        </w:rPr>
        <w:t>Commentaires préliminaire</w:t>
      </w:r>
      <w:r w:rsidR="00D25874" w:rsidRPr="001A0224">
        <w:rPr>
          <w:b/>
          <w:i/>
          <w:sz w:val="28"/>
          <w:szCs w:val="28"/>
          <w:u w:val="single"/>
          <w:lang w:val="fr-BE"/>
        </w:rPr>
        <w:t>s</w:t>
      </w:r>
      <w:r w:rsidR="008A06E5">
        <w:rPr>
          <w:b/>
          <w:i/>
          <w:sz w:val="28"/>
          <w:szCs w:val="28"/>
          <w:u w:val="single"/>
          <w:lang w:val="fr-BE"/>
        </w:rPr>
        <w:t xml:space="preserve">  du BDF </w:t>
      </w:r>
      <w:r w:rsidRPr="001A0224">
        <w:rPr>
          <w:b/>
          <w:i/>
          <w:sz w:val="28"/>
          <w:szCs w:val="28"/>
          <w:u w:val="single"/>
          <w:lang w:val="fr-BE"/>
        </w:rPr>
        <w:t xml:space="preserve"> </w:t>
      </w:r>
    </w:p>
    <w:p w:rsidR="00577B2D" w:rsidRPr="001A0224" w:rsidRDefault="00577B2D" w:rsidP="00A1582E">
      <w:pPr>
        <w:pStyle w:val="ListParagraph"/>
        <w:numPr>
          <w:ilvl w:val="0"/>
          <w:numId w:val="5"/>
        </w:numPr>
        <w:spacing w:after="120"/>
        <w:ind w:left="714" w:hanging="357"/>
        <w:rPr>
          <w:rFonts w:asciiTheme="minorHAnsi" w:hAnsiTheme="minorHAnsi"/>
          <w:lang w:val="fr-BE"/>
        </w:rPr>
      </w:pPr>
      <w:r w:rsidRPr="001A0224">
        <w:rPr>
          <w:rFonts w:asciiTheme="minorHAnsi" w:hAnsiTheme="minorHAnsi"/>
          <w:b/>
          <w:sz w:val="28"/>
          <w:szCs w:val="28"/>
          <w:lang w:val="fr-BE"/>
        </w:rPr>
        <w:t>La crise</w:t>
      </w:r>
      <w:r w:rsidRPr="001A0224">
        <w:rPr>
          <w:rFonts w:asciiTheme="minorHAnsi" w:hAnsiTheme="minorHAnsi"/>
          <w:b/>
          <w:lang w:val="fr-BE"/>
        </w:rPr>
        <w:t xml:space="preserve"> </w:t>
      </w:r>
      <w:r w:rsidRPr="001A0224">
        <w:rPr>
          <w:rFonts w:asciiTheme="minorHAnsi" w:hAnsiTheme="minorHAnsi"/>
          <w:lang w:val="fr-BE"/>
        </w:rPr>
        <w:t>a été l’occasion</w:t>
      </w:r>
      <w:r w:rsidR="00D25874" w:rsidRPr="001A0224">
        <w:rPr>
          <w:rFonts w:asciiTheme="minorHAnsi" w:hAnsiTheme="minorHAnsi"/>
          <w:lang w:val="fr-BE"/>
        </w:rPr>
        <w:t xml:space="preserve"> et l’alibi </w:t>
      </w:r>
      <w:r w:rsidRPr="001A0224">
        <w:rPr>
          <w:rFonts w:asciiTheme="minorHAnsi" w:hAnsiTheme="minorHAnsi"/>
          <w:lang w:val="fr-BE"/>
        </w:rPr>
        <w:t xml:space="preserve"> pour de nombreux pays de </w:t>
      </w:r>
      <w:r w:rsidR="00D25874" w:rsidRPr="001A0224">
        <w:rPr>
          <w:rFonts w:asciiTheme="minorHAnsi" w:hAnsiTheme="minorHAnsi"/>
          <w:lang w:val="fr-BE"/>
        </w:rPr>
        <w:t>réduire</w:t>
      </w:r>
      <w:r w:rsidRPr="001A0224">
        <w:rPr>
          <w:rFonts w:asciiTheme="minorHAnsi" w:hAnsiTheme="minorHAnsi"/>
          <w:lang w:val="fr-BE"/>
        </w:rPr>
        <w:t xml:space="preserve"> les acquis sociaux.</w:t>
      </w:r>
      <w:r w:rsidR="00D25874" w:rsidRPr="001A0224">
        <w:rPr>
          <w:rFonts w:asciiTheme="minorHAnsi" w:hAnsiTheme="minorHAnsi"/>
          <w:lang w:val="fr-BE"/>
        </w:rPr>
        <w:t xml:space="preserve"> Parfois très fortement ( Grèce, </w:t>
      </w:r>
      <w:r w:rsidR="001A0224" w:rsidRPr="001A0224">
        <w:rPr>
          <w:rFonts w:asciiTheme="minorHAnsi" w:hAnsiTheme="minorHAnsi"/>
          <w:lang w:val="fr-BE"/>
        </w:rPr>
        <w:t>Royaume-Uni</w:t>
      </w:r>
      <w:r w:rsidR="00D25874" w:rsidRPr="001A0224">
        <w:rPr>
          <w:rFonts w:asciiTheme="minorHAnsi" w:hAnsiTheme="minorHAnsi"/>
          <w:lang w:val="fr-BE"/>
        </w:rPr>
        <w:t>, Espagne…) et sur le dos de ceux qui sont déjà les plus défavorisés</w:t>
      </w:r>
    </w:p>
    <w:p w:rsidR="00577B2D" w:rsidRPr="001A0224" w:rsidRDefault="00577B2D" w:rsidP="00A1582E">
      <w:pPr>
        <w:pStyle w:val="ListParagraph"/>
        <w:numPr>
          <w:ilvl w:val="0"/>
          <w:numId w:val="5"/>
        </w:numPr>
        <w:spacing w:after="120"/>
        <w:ind w:left="714" w:hanging="357"/>
        <w:rPr>
          <w:rFonts w:asciiTheme="minorHAnsi" w:hAnsiTheme="minorHAnsi"/>
          <w:lang w:val="fr-BE"/>
        </w:rPr>
      </w:pPr>
      <w:r w:rsidRPr="001A0224">
        <w:rPr>
          <w:rFonts w:asciiTheme="minorHAnsi" w:hAnsiTheme="minorHAnsi"/>
          <w:b/>
          <w:sz w:val="28"/>
          <w:szCs w:val="28"/>
          <w:lang w:val="fr-BE"/>
        </w:rPr>
        <w:t>La Stratégie 2020</w:t>
      </w:r>
      <w:r w:rsidRPr="001A0224">
        <w:rPr>
          <w:rFonts w:asciiTheme="minorHAnsi" w:hAnsiTheme="minorHAnsi"/>
          <w:b/>
          <w:lang w:val="fr-BE"/>
        </w:rPr>
        <w:t xml:space="preserve"> </w:t>
      </w:r>
      <w:r w:rsidRPr="001A0224">
        <w:rPr>
          <w:rFonts w:asciiTheme="minorHAnsi" w:hAnsiTheme="minorHAnsi"/>
          <w:lang w:val="fr-BE"/>
        </w:rPr>
        <w:t>avait développé un pilier social, minimaliste, certes, mais consistant et doté d’un objectif de réduction du nombr</w:t>
      </w:r>
      <w:r w:rsidR="00D25874" w:rsidRPr="001A0224">
        <w:rPr>
          <w:rFonts w:asciiTheme="minorHAnsi" w:hAnsiTheme="minorHAnsi"/>
          <w:lang w:val="fr-BE"/>
        </w:rPr>
        <w:t>e de personnes dans la pauvreté</w:t>
      </w:r>
      <w:r w:rsidR="009E536C">
        <w:rPr>
          <w:rFonts w:asciiTheme="minorHAnsi" w:hAnsiTheme="minorHAnsi"/>
          <w:lang w:val="fr-BE"/>
        </w:rPr>
        <w:t>.</w:t>
      </w:r>
      <w:r w:rsidR="00D25874" w:rsidRPr="001A0224">
        <w:rPr>
          <w:rFonts w:asciiTheme="minorHAnsi" w:hAnsiTheme="minorHAnsi"/>
          <w:lang w:val="fr-BE"/>
        </w:rPr>
        <w:t xml:space="preserve"> Nous sommes à mi-parcours et on constate que dans tous les pays, </w:t>
      </w:r>
      <w:r w:rsidR="009E536C">
        <w:rPr>
          <w:rFonts w:asciiTheme="minorHAnsi" w:hAnsiTheme="minorHAnsi"/>
          <w:lang w:val="fr-BE"/>
        </w:rPr>
        <w:t>l</w:t>
      </w:r>
      <w:r w:rsidR="00D25874" w:rsidRPr="001A0224">
        <w:rPr>
          <w:rFonts w:asciiTheme="minorHAnsi" w:hAnsiTheme="minorHAnsi"/>
          <w:lang w:val="fr-BE"/>
        </w:rPr>
        <w:t xml:space="preserve">e nombre de personnes vivant dans la pauvreté a augmenté. Si </w:t>
      </w:r>
      <w:proofErr w:type="spellStart"/>
      <w:r w:rsidR="00D25874" w:rsidRPr="001A0224">
        <w:rPr>
          <w:rFonts w:asciiTheme="minorHAnsi" w:hAnsiTheme="minorHAnsi"/>
          <w:lang w:val="fr-BE"/>
        </w:rPr>
        <w:t>J</w:t>
      </w:r>
      <w:r w:rsidR="009E536C">
        <w:rPr>
          <w:rFonts w:asciiTheme="minorHAnsi" w:hAnsiTheme="minorHAnsi"/>
          <w:lang w:val="fr-BE"/>
        </w:rPr>
        <w:t>.</w:t>
      </w:r>
      <w:r w:rsidR="00D25874" w:rsidRPr="001A0224">
        <w:rPr>
          <w:rFonts w:asciiTheme="minorHAnsi" w:hAnsiTheme="minorHAnsi"/>
          <w:lang w:val="fr-BE"/>
        </w:rPr>
        <w:t>C</w:t>
      </w:r>
      <w:r w:rsidR="009E536C">
        <w:rPr>
          <w:rFonts w:asciiTheme="minorHAnsi" w:hAnsiTheme="minorHAnsi"/>
          <w:lang w:val="fr-BE"/>
        </w:rPr>
        <w:t>l</w:t>
      </w:r>
      <w:proofErr w:type="spellEnd"/>
      <w:r w:rsidR="009E536C">
        <w:rPr>
          <w:rFonts w:asciiTheme="minorHAnsi" w:hAnsiTheme="minorHAnsi"/>
          <w:lang w:val="fr-BE"/>
        </w:rPr>
        <w:t>.</w:t>
      </w:r>
      <w:r w:rsidR="00D25874" w:rsidRPr="001A0224">
        <w:rPr>
          <w:rFonts w:asciiTheme="minorHAnsi" w:hAnsiTheme="minorHAnsi"/>
          <w:lang w:val="fr-BE"/>
        </w:rPr>
        <w:t xml:space="preserve"> Juncker a déclaré qu’un des objectifs de l’Union européenne est le </w:t>
      </w:r>
      <w:r w:rsidR="009E536C">
        <w:rPr>
          <w:rFonts w:asciiTheme="minorHAnsi" w:hAnsiTheme="minorHAnsi"/>
          <w:lang w:val="fr-BE"/>
        </w:rPr>
        <w:t>« </w:t>
      </w:r>
      <w:r w:rsidR="00D25874" w:rsidRPr="001A0224">
        <w:rPr>
          <w:rFonts w:asciiTheme="minorHAnsi" w:hAnsiTheme="minorHAnsi"/>
          <w:lang w:val="fr-BE"/>
        </w:rPr>
        <w:t xml:space="preserve">social </w:t>
      </w:r>
      <w:proofErr w:type="spellStart"/>
      <w:r w:rsidR="00D25874" w:rsidRPr="001A0224">
        <w:rPr>
          <w:rFonts w:asciiTheme="minorHAnsi" w:hAnsiTheme="minorHAnsi"/>
          <w:lang w:val="fr-BE"/>
        </w:rPr>
        <w:t>fairness</w:t>
      </w:r>
      <w:proofErr w:type="spellEnd"/>
      <w:r w:rsidR="00D25874" w:rsidRPr="001A0224">
        <w:rPr>
          <w:rFonts w:asciiTheme="minorHAnsi" w:hAnsiTheme="minorHAnsi"/>
          <w:lang w:val="fr-BE"/>
        </w:rPr>
        <w:t> », concrètement, les objectifs et les moyens restent inconsistants.</w:t>
      </w:r>
      <w:r w:rsidR="00D25874" w:rsidRPr="001A0224">
        <w:rPr>
          <w:rFonts w:asciiTheme="minorHAnsi" w:hAnsiTheme="minorHAnsi"/>
          <w:b/>
          <w:lang w:val="fr-BE"/>
        </w:rPr>
        <w:t xml:space="preserve"> </w:t>
      </w:r>
    </w:p>
    <w:p w:rsidR="00D25874" w:rsidRPr="001A0224" w:rsidRDefault="00D25874" w:rsidP="00A1582E">
      <w:pPr>
        <w:pStyle w:val="ListParagraph"/>
        <w:numPr>
          <w:ilvl w:val="0"/>
          <w:numId w:val="5"/>
        </w:numPr>
        <w:spacing w:after="120"/>
        <w:ind w:left="714" w:hanging="357"/>
        <w:rPr>
          <w:rFonts w:asciiTheme="minorHAnsi" w:hAnsiTheme="minorHAnsi"/>
          <w:lang w:val="fr-BE"/>
        </w:rPr>
      </w:pPr>
      <w:r w:rsidRPr="001A0224">
        <w:rPr>
          <w:rFonts w:asciiTheme="minorHAnsi" w:hAnsiTheme="minorHAnsi"/>
          <w:b/>
          <w:sz w:val="28"/>
          <w:szCs w:val="28"/>
          <w:lang w:val="fr-BE"/>
        </w:rPr>
        <w:t>Les conditions de vie</w:t>
      </w:r>
      <w:r w:rsidRPr="001A0224">
        <w:rPr>
          <w:rFonts w:asciiTheme="minorHAnsi" w:hAnsiTheme="minorHAnsi"/>
          <w:lang w:val="fr-BE"/>
        </w:rPr>
        <w:t xml:space="preserve"> des jeunes, personnes âgées, </w:t>
      </w:r>
      <w:r w:rsidR="009E536C">
        <w:rPr>
          <w:rFonts w:asciiTheme="minorHAnsi" w:hAnsiTheme="minorHAnsi"/>
          <w:lang w:val="fr-BE"/>
        </w:rPr>
        <w:t xml:space="preserve">personnes </w:t>
      </w:r>
      <w:r w:rsidRPr="001A0224">
        <w:rPr>
          <w:rFonts w:asciiTheme="minorHAnsi" w:hAnsiTheme="minorHAnsi"/>
          <w:lang w:val="fr-BE"/>
        </w:rPr>
        <w:t xml:space="preserve">d’origine étrangère régressent. Le citoyen ne ressent que les côtés négatifs de </w:t>
      </w:r>
      <w:r w:rsidR="009E536C">
        <w:rPr>
          <w:rFonts w:asciiTheme="minorHAnsi" w:hAnsiTheme="minorHAnsi"/>
          <w:lang w:val="fr-BE"/>
        </w:rPr>
        <w:t>l’</w:t>
      </w:r>
      <w:r w:rsidRPr="001A0224">
        <w:rPr>
          <w:rFonts w:asciiTheme="minorHAnsi" w:hAnsiTheme="minorHAnsi"/>
          <w:lang w:val="fr-BE"/>
        </w:rPr>
        <w:t>Europe : les économies budgétaires dans tous les pays. Les mesures de relance ne sont pas palpables sur le terrain et dans la vie des personnes avec pour conséquence dramatique des replis identitaires et nationalistes dans de nombreux pays.</w:t>
      </w:r>
    </w:p>
    <w:p w:rsidR="00D25874" w:rsidRPr="001A0224" w:rsidRDefault="00D25874" w:rsidP="00A1582E">
      <w:pPr>
        <w:pStyle w:val="ListParagraph"/>
        <w:numPr>
          <w:ilvl w:val="0"/>
          <w:numId w:val="5"/>
        </w:numPr>
        <w:spacing w:after="120"/>
        <w:ind w:left="714" w:hanging="357"/>
        <w:rPr>
          <w:rFonts w:asciiTheme="minorHAnsi" w:hAnsiTheme="minorHAnsi"/>
          <w:lang w:val="fr-BE"/>
        </w:rPr>
      </w:pPr>
      <w:r w:rsidRPr="001A0224">
        <w:rPr>
          <w:rFonts w:asciiTheme="minorHAnsi" w:hAnsiTheme="minorHAnsi"/>
          <w:b/>
          <w:sz w:val="28"/>
          <w:szCs w:val="28"/>
          <w:lang w:val="fr-BE"/>
        </w:rPr>
        <w:t>Les personnes handicapées</w:t>
      </w:r>
      <w:r w:rsidRPr="001A0224">
        <w:rPr>
          <w:rFonts w:asciiTheme="minorHAnsi" w:hAnsiTheme="minorHAnsi"/>
          <w:lang w:val="fr-BE"/>
        </w:rPr>
        <w:t>, en ce qu’elles cumulent pauvreté et perte d’autonomie, sont parmi les premières victimes de cette situation.</w:t>
      </w:r>
    </w:p>
    <w:p w:rsidR="00D25874" w:rsidRPr="001A0224" w:rsidRDefault="00D25874" w:rsidP="00A1582E">
      <w:pPr>
        <w:pStyle w:val="ListParagraph"/>
        <w:numPr>
          <w:ilvl w:val="0"/>
          <w:numId w:val="5"/>
        </w:numPr>
        <w:spacing w:after="120"/>
        <w:ind w:left="714" w:hanging="357"/>
        <w:rPr>
          <w:rFonts w:asciiTheme="minorHAnsi" w:hAnsiTheme="minorHAnsi"/>
          <w:lang w:val="fr-BE"/>
        </w:rPr>
      </w:pPr>
      <w:r w:rsidRPr="001A0224">
        <w:rPr>
          <w:rFonts w:asciiTheme="minorHAnsi" w:hAnsiTheme="minorHAnsi"/>
          <w:b/>
          <w:sz w:val="28"/>
          <w:szCs w:val="28"/>
          <w:lang w:val="fr-BE"/>
        </w:rPr>
        <w:lastRenderedPageBreak/>
        <w:t>L’UE a ratifié la Convention des droits des PH</w:t>
      </w:r>
      <w:r w:rsidR="001D284B" w:rsidRPr="001A0224">
        <w:rPr>
          <w:rFonts w:asciiTheme="minorHAnsi" w:hAnsiTheme="minorHAnsi"/>
          <w:b/>
          <w:sz w:val="28"/>
          <w:szCs w:val="28"/>
          <w:lang w:val="fr-BE"/>
        </w:rPr>
        <w:t>.</w:t>
      </w:r>
      <w:r w:rsidR="001D284B" w:rsidRPr="001A0224">
        <w:rPr>
          <w:rFonts w:asciiTheme="minorHAnsi" w:hAnsiTheme="minorHAnsi"/>
          <w:b/>
          <w:lang w:val="fr-BE"/>
        </w:rPr>
        <w:t xml:space="preserve"> </w:t>
      </w:r>
      <w:r w:rsidR="001D284B" w:rsidRPr="001A0224">
        <w:rPr>
          <w:rFonts w:asciiTheme="minorHAnsi" w:hAnsiTheme="minorHAnsi"/>
          <w:lang w:val="fr-BE"/>
        </w:rPr>
        <w:t>C’est la première Convention que l’UE s’est engagée à mettre en œuvre en son propre nom.</w:t>
      </w:r>
    </w:p>
    <w:p w:rsidR="001D284B" w:rsidRPr="001A0224" w:rsidRDefault="001D284B" w:rsidP="00A1582E">
      <w:pPr>
        <w:pStyle w:val="ListParagraph"/>
        <w:numPr>
          <w:ilvl w:val="0"/>
          <w:numId w:val="5"/>
        </w:numPr>
        <w:spacing w:after="120"/>
        <w:ind w:left="714" w:hanging="357"/>
        <w:rPr>
          <w:rFonts w:asciiTheme="minorHAnsi" w:hAnsiTheme="minorHAnsi"/>
          <w:lang w:val="fr-BE"/>
        </w:rPr>
      </w:pPr>
      <w:r w:rsidRPr="001A0224">
        <w:rPr>
          <w:rFonts w:asciiTheme="minorHAnsi" w:hAnsiTheme="minorHAnsi"/>
          <w:lang w:val="fr-BE"/>
        </w:rPr>
        <w:t>Le champ des compétences européennes pourrai</w:t>
      </w:r>
      <w:r w:rsidR="00E45384">
        <w:rPr>
          <w:rFonts w:asciiTheme="minorHAnsi" w:hAnsiTheme="minorHAnsi"/>
          <w:lang w:val="fr-BE"/>
        </w:rPr>
        <w:t>t</w:t>
      </w:r>
      <w:r w:rsidRPr="001A0224">
        <w:rPr>
          <w:rFonts w:asciiTheme="minorHAnsi" w:hAnsiTheme="minorHAnsi"/>
          <w:lang w:val="fr-BE"/>
        </w:rPr>
        <w:t xml:space="preserve"> permettre à la Commission européenne, au nom de cette Convention et du respect des droits de l’Homme des personnes handicapées, de mettre en œuvre des chantiers très importants </w:t>
      </w:r>
      <w:r w:rsidRPr="001A0224">
        <w:rPr>
          <w:rFonts w:asciiTheme="minorHAnsi" w:hAnsiTheme="minorHAnsi"/>
          <w:b/>
          <w:sz w:val="28"/>
          <w:szCs w:val="28"/>
          <w:lang w:val="fr-BE"/>
        </w:rPr>
        <w:t>pour</w:t>
      </w:r>
      <w:r w:rsidRPr="001A0224">
        <w:rPr>
          <w:rFonts w:asciiTheme="minorHAnsi" w:hAnsiTheme="minorHAnsi"/>
          <w:b/>
          <w:lang w:val="fr-BE"/>
        </w:rPr>
        <w:t xml:space="preserve"> </w:t>
      </w:r>
      <w:r w:rsidRPr="001A0224">
        <w:rPr>
          <w:rFonts w:asciiTheme="minorHAnsi" w:hAnsiTheme="minorHAnsi"/>
          <w:b/>
          <w:sz w:val="28"/>
          <w:szCs w:val="28"/>
          <w:lang w:val="fr-BE"/>
        </w:rPr>
        <w:t>tous les citoyens</w:t>
      </w:r>
      <w:r w:rsidRPr="001A0224">
        <w:rPr>
          <w:rFonts w:asciiTheme="minorHAnsi" w:hAnsiTheme="minorHAnsi"/>
          <w:lang w:val="fr-BE"/>
        </w:rPr>
        <w:t>. Ces domaines seront cités plus loin.</w:t>
      </w:r>
    </w:p>
    <w:p w:rsidR="001D284B" w:rsidRPr="001A0224" w:rsidRDefault="001D284B" w:rsidP="00A1582E">
      <w:pPr>
        <w:pStyle w:val="ListParagraph"/>
        <w:numPr>
          <w:ilvl w:val="0"/>
          <w:numId w:val="5"/>
        </w:numPr>
        <w:spacing w:after="600"/>
        <w:ind w:left="714" w:hanging="357"/>
        <w:rPr>
          <w:rFonts w:asciiTheme="minorHAnsi" w:hAnsiTheme="minorHAnsi"/>
          <w:lang w:val="fr-BE"/>
        </w:rPr>
      </w:pPr>
      <w:r w:rsidRPr="001A0224">
        <w:rPr>
          <w:rFonts w:asciiTheme="minorHAnsi" w:hAnsiTheme="minorHAnsi"/>
          <w:lang w:val="fr-BE"/>
        </w:rPr>
        <w:t xml:space="preserve">Enfin, l’inclusion des personnes handicapées dans la vie en société représente aussi </w:t>
      </w:r>
      <w:r w:rsidRPr="001A0224">
        <w:rPr>
          <w:rFonts w:asciiTheme="minorHAnsi" w:hAnsiTheme="minorHAnsi"/>
          <w:b/>
          <w:sz w:val="28"/>
          <w:szCs w:val="28"/>
          <w:lang w:val="fr-BE"/>
        </w:rPr>
        <w:t>des niches porteuses sur les plans économique et technologique</w:t>
      </w:r>
      <w:r w:rsidRPr="001A0224">
        <w:rPr>
          <w:rFonts w:asciiTheme="minorHAnsi" w:hAnsiTheme="minorHAnsi"/>
          <w:lang w:val="fr-BE"/>
        </w:rPr>
        <w:t xml:space="preserve"> qui contribueront </w:t>
      </w:r>
      <w:r w:rsidR="00570119">
        <w:rPr>
          <w:rFonts w:asciiTheme="minorHAnsi" w:hAnsiTheme="minorHAnsi"/>
          <w:lang w:val="fr-BE"/>
        </w:rPr>
        <w:t>à stimuler</w:t>
      </w:r>
      <w:r w:rsidRPr="001A0224">
        <w:rPr>
          <w:rFonts w:asciiTheme="minorHAnsi" w:hAnsiTheme="minorHAnsi"/>
          <w:lang w:val="fr-BE"/>
        </w:rPr>
        <w:t xml:space="preserve"> </w:t>
      </w:r>
      <w:bookmarkStart w:id="0" w:name="_GoBack"/>
      <w:bookmarkEnd w:id="0"/>
      <w:r w:rsidRPr="001A0224">
        <w:rPr>
          <w:rFonts w:asciiTheme="minorHAnsi" w:hAnsiTheme="minorHAnsi"/>
          <w:lang w:val="fr-BE"/>
        </w:rPr>
        <w:t>les domaines de l’industrie, de la recherche et des nouvelles technologies, des transports, de l’enseignement, etc….</w:t>
      </w:r>
    </w:p>
    <w:p w:rsidR="001D284B" w:rsidRPr="001A0224" w:rsidRDefault="001D284B" w:rsidP="001A0224">
      <w:pPr>
        <w:rPr>
          <w:rFonts w:ascii="Calibri" w:hAnsi="Calibri"/>
          <w:b/>
          <w:i/>
          <w:sz w:val="28"/>
          <w:szCs w:val="28"/>
          <w:u w:val="single"/>
          <w:lang w:val="fr-BE"/>
        </w:rPr>
      </w:pPr>
      <w:r w:rsidRPr="001A0224">
        <w:rPr>
          <w:rFonts w:ascii="Calibri" w:hAnsi="Calibri"/>
          <w:b/>
          <w:i/>
          <w:sz w:val="28"/>
          <w:szCs w:val="28"/>
          <w:u w:val="single"/>
          <w:lang w:val="fr-BE"/>
        </w:rPr>
        <w:t xml:space="preserve">La Convention </w:t>
      </w:r>
      <w:r w:rsidR="00ED0CE8" w:rsidRPr="001A0224">
        <w:rPr>
          <w:rFonts w:ascii="Calibri" w:hAnsi="Calibri"/>
          <w:b/>
          <w:i/>
          <w:sz w:val="28"/>
          <w:szCs w:val="28"/>
          <w:u w:val="single"/>
          <w:lang w:val="fr-BE"/>
        </w:rPr>
        <w:t>sur les droits des PH</w:t>
      </w:r>
    </w:p>
    <w:p w:rsidR="00ED0CE8" w:rsidRPr="001A0224" w:rsidRDefault="00ED0CE8" w:rsidP="00AF25AE">
      <w:pPr>
        <w:pStyle w:val="ListParagraph"/>
        <w:numPr>
          <w:ilvl w:val="1"/>
          <w:numId w:val="6"/>
        </w:numPr>
        <w:spacing w:after="120"/>
        <w:ind w:left="709" w:hanging="357"/>
        <w:rPr>
          <w:rFonts w:ascii="Calibri" w:hAnsi="Calibri"/>
          <w:b/>
          <w:lang w:val="fr-BE"/>
        </w:rPr>
      </w:pPr>
      <w:r w:rsidRPr="001A0224">
        <w:rPr>
          <w:rFonts w:ascii="Calibri" w:hAnsi="Calibri"/>
          <w:b/>
          <w:lang w:val="fr-BE"/>
        </w:rPr>
        <w:t xml:space="preserve">Ratifiée par l’UE et </w:t>
      </w:r>
      <w:r w:rsidR="00570119" w:rsidRPr="001A0224">
        <w:rPr>
          <w:rFonts w:ascii="Calibri" w:hAnsi="Calibri"/>
          <w:b/>
          <w:lang w:val="fr-BE"/>
        </w:rPr>
        <w:t>2</w:t>
      </w:r>
      <w:r w:rsidR="00570119">
        <w:rPr>
          <w:rFonts w:ascii="Calibri" w:hAnsi="Calibri"/>
          <w:b/>
          <w:lang w:val="fr-BE"/>
        </w:rPr>
        <w:t>5</w:t>
      </w:r>
      <w:r w:rsidRPr="001A0224">
        <w:rPr>
          <w:rFonts w:ascii="Calibri" w:hAnsi="Calibri"/>
          <w:b/>
          <w:lang w:val="fr-BE"/>
        </w:rPr>
        <w:t xml:space="preserve">pays de </w:t>
      </w:r>
      <w:proofErr w:type="spellStart"/>
      <w:r w:rsidRPr="001A0224">
        <w:rPr>
          <w:rFonts w:ascii="Calibri" w:hAnsi="Calibri"/>
          <w:b/>
          <w:lang w:val="fr-BE"/>
        </w:rPr>
        <w:t>la</w:t>
      </w:r>
      <w:proofErr w:type="spellEnd"/>
      <w:r w:rsidRPr="001A0224">
        <w:rPr>
          <w:rFonts w:ascii="Calibri" w:hAnsi="Calibri"/>
          <w:b/>
          <w:lang w:val="fr-BE"/>
        </w:rPr>
        <w:t xml:space="preserve"> l’UE</w:t>
      </w:r>
      <w:r w:rsidR="00570119">
        <w:rPr>
          <w:rFonts w:ascii="Calibri" w:hAnsi="Calibri"/>
          <w:b/>
          <w:lang w:val="fr-BE"/>
        </w:rPr>
        <w:t xml:space="preserve"> (</w:t>
      </w:r>
      <w:r w:rsidR="00570119" w:rsidRPr="00570119">
        <w:rPr>
          <w:rFonts w:ascii="Verdana" w:hAnsi="Verdana"/>
          <w:color w:val="000000"/>
          <w:sz w:val="18"/>
          <w:szCs w:val="18"/>
          <w:shd w:val="clear" w:color="auto" w:fill="FFFFFF"/>
          <w:lang w:val="fr-FR"/>
        </w:rPr>
        <w:t>(</w:t>
      </w:r>
      <w:r w:rsidR="00570119">
        <w:rPr>
          <w:rFonts w:ascii="Verdana" w:hAnsi="Verdana"/>
          <w:color w:val="000000"/>
          <w:sz w:val="18"/>
          <w:szCs w:val="18"/>
          <w:shd w:val="clear" w:color="auto" w:fill="FFFFFF"/>
          <w:lang w:val="fr-FR"/>
        </w:rPr>
        <w:t>à l’</w:t>
      </w:r>
      <w:r w:rsidR="00570119" w:rsidRPr="00570119">
        <w:rPr>
          <w:rFonts w:ascii="Verdana" w:hAnsi="Verdana"/>
          <w:color w:val="000000"/>
          <w:sz w:val="18"/>
          <w:szCs w:val="18"/>
          <w:shd w:val="clear" w:color="auto" w:fill="FFFFFF"/>
          <w:lang w:val="fr-FR"/>
        </w:rPr>
        <w:t>except</w:t>
      </w:r>
      <w:r w:rsidR="00570119">
        <w:rPr>
          <w:rFonts w:ascii="Verdana" w:hAnsi="Verdana"/>
          <w:color w:val="000000"/>
          <w:sz w:val="18"/>
          <w:szCs w:val="18"/>
          <w:shd w:val="clear" w:color="auto" w:fill="FFFFFF"/>
          <w:lang w:val="fr-FR"/>
        </w:rPr>
        <w:t xml:space="preserve">ion de la </w:t>
      </w:r>
      <w:r w:rsidR="00570119" w:rsidRPr="00570119">
        <w:rPr>
          <w:rFonts w:ascii="Verdana" w:hAnsi="Verdana"/>
          <w:color w:val="000000"/>
          <w:sz w:val="18"/>
          <w:szCs w:val="18"/>
          <w:shd w:val="clear" w:color="auto" w:fill="FFFFFF"/>
          <w:lang w:val="fr-FR"/>
        </w:rPr>
        <w:t>Finland</w:t>
      </w:r>
      <w:r w:rsidR="00570119">
        <w:rPr>
          <w:rFonts w:ascii="Verdana" w:hAnsi="Verdana"/>
          <w:color w:val="000000"/>
          <w:sz w:val="18"/>
          <w:szCs w:val="18"/>
          <w:shd w:val="clear" w:color="auto" w:fill="FFFFFF"/>
          <w:lang w:val="fr-FR"/>
        </w:rPr>
        <w:t>e</w:t>
      </w:r>
      <w:r w:rsidR="00570119" w:rsidRPr="00570119">
        <w:rPr>
          <w:rFonts w:ascii="Verdana" w:hAnsi="Verdana"/>
          <w:color w:val="000000"/>
          <w:sz w:val="18"/>
          <w:szCs w:val="18"/>
          <w:shd w:val="clear" w:color="auto" w:fill="FFFFFF"/>
          <w:lang w:val="fr-FR"/>
        </w:rPr>
        <w:t xml:space="preserve">, </w:t>
      </w:r>
      <w:r w:rsidR="00570119">
        <w:rPr>
          <w:rFonts w:ascii="Verdana" w:hAnsi="Verdana"/>
          <w:color w:val="000000"/>
          <w:sz w:val="18"/>
          <w:szCs w:val="18"/>
          <w:shd w:val="clear" w:color="auto" w:fill="FFFFFF"/>
          <w:lang w:val="fr-FR"/>
        </w:rPr>
        <w:t xml:space="preserve">les Pays-Bas et </w:t>
      </w:r>
      <w:r w:rsidR="00570119" w:rsidRPr="00570119">
        <w:rPr>
          <w:rFonts w:ascii="Verdana" w:hAnsi="Verdana"/>
          <w:color w:val="000000"/>
          <w:sz w:val="18"/>
          <w:szCs w:val="18"/>
          <w:shd w:val="clear" w:color="auto" w:fill="FFFFFF"/>
          <w:lang w:val="fr-FR"/>
        </w:rPr>
        <w:t xml:space="preserve"> </w:t>
      </w:r>
      <w:r w:rsidR="00570119">
        <w:rPr>
          <w:rFonts w:ascii="Verdana" w:hAnsi="Verdana"/>
          <w:color w:val="000000"/>
          <w:sz w:val="18"/>
          <w:szCs w:val="18"/>
          <w:shd w:val="clear" w:color="auto" w:fill="FFFFFF"/>
          <w:lang w:val="fr-FR"/>
        </w:rPr>
        <w:t>l’</w:t>
      </w:r>
      <w:r w:rsidR="00570119" w:rsidRPr="00570119">
        <w:rPr>
          <w:rFonts w:ascii="Verdana" w:hAnsi="Verdana"/>
          <w:color w:val="000000"/>
          <w:sz w:val="18"/>
          <w:szCs w:val="18"/>
          <w:shd w:val="clear" w:color="auto" w:fill="FFFFFF"/>
          <w:lang w:val="fr-FR"/>
        </w:rPr>
        <w:t xml:space="preserve"> Ir</w:t>
      </w:r>
      <w:r w:rsidR="00570119" w:rsidRPr="00570119">
        <w:rPr>
          <w:rFonts w:ascii="Verdana" w:hAnsi="Verdana"/>
          <w:color w:val="000000"/>
          <w:sz w:val="18"/>
          <w:szCs w:val="18"/>
          <w:shd w:val="clear" w:color="auto" w:fill="FFFFFF"/>
          <w:lang w:val="fr-FR"/>
        </w:rPr>
        <w:t>land</w:t>
      </w:r>
      <w:r w:rsidR="00570119">
        <w:rPr>
          <w:rFonts w:ascii="Verdana" w:hAnsi="Verdana"/>
          <w:color w:val="000000"/>
          <w:sz w:val="18"/>
          <w:szCs w:val="18"/>
          <w:shd w:val="clear" w:color="auto" w:fill="FFFFFF"/>
          <w:lang w:val="fr-FR"/>
        </w:rPr>
        <w:t>e</w:t>
      </w:r>
      <w:r w:rsidR="00570119" w:rsidRPr="00570119">
        <w:rPr>
          <w:rFonts w:ascii="Verdana" w:hAnsi="Verdana"/>
          <w:color w:val="000000"/>
          <w:sz w:val="18"/>
          <w:szCs w:val="18"/>
          <w:shd w:val="clear" w:color="auto" w:fill="FFFFFF"/>
          <w:lang w:val="fr-FR"/>
        </w:rPr>
        <w:t>).</w:t>
      </w:r>
    </w:p>
    <w:p w:rsidR="00ED0CE8" w:rsidRPr="001A0224" w:rsidRDefault="00180D75" w:rsidP="00AF25AE">
      <w:pPr>
        <w:pStyle w:val="ListParagraph"/>
        <w:numPr>
          <w:ilvl w:val="1"/>
          <w:numId w:val="6"/>
        </w:numPr>
        <w:spacing w:after="120"/>
        <w:ind w:left="709" w:hanging="357"/>
        <w:rPr>
          <w:rFonts w:ascii="Calibri" w:hAnsi="Calibri"/>
          <w:b/>
          <w:lang w:val="fr-BE"/>
        </w:rPr>
      </w:pPr>
      <w:r>
        <w:rPr>
          <w:rFonts w:ascii="Calibri" w:hAnsi="Calibri"/>
          <w:b/>
          <w:lang w:val="fr-BE"/>
        </w:rPr>
        <w:t xml:space="preserve">Exigences de la Convention </w:t>
      </w:r>
      <w:r w:rsidR="00ED0CE8" w:rsidRPr="001A0224">
        <w:rPr>
          <w:rFonts w:ascii="Calibri" w:hAnsi="Calibri"/>
          <w:b/>
          <w:lang w:val="fr-BE"/>
        </w:rPr>
        <w:t xml:space="preserve"> : </w:t>
      </w:r>
    </w:p>
    <w:p w:rsidR="00ED0CE8" w:rsidRPr="001A0224" w:rsidRDefault="00A1582E" w:rsidP="00AF25AE">
      <w:pPr>
        <w:pStyle w:val="ListParagraph"/>
        <w:numPr>
          <w:ilvl w:val="2"/>
          <w:numId w:val="6"/>
        </w:numPr>
        <w:spacing w:after="120"/>
        <w:ind w:left="1275" w:hanging="181"/>
        <w:rPr>
          <w:rFonts w:ascii="Calibri" w:hAnsi="Calibri"/>
          <w:b/>
          <w:lang w:val="fr-BE"/>
        </w:rPr>
      </w:pPr>
      <w:r>
        <w:rPr>
          <w:rFonts w:ascii="Calibri" w:hAnsi="Calibri"/>
          <w:b/>
          <w:lang w:val="fr-BE"/>
        </w:rPr>
        <w:t>I</w:t>
      </w:r>
      <w:r w:rsidR="00ED0CE8" w:rsidRPr="001A0224">
        <w:rPr>
          <w:rFonts w:ascii="Calibri" w:hAnsi="Calibri"/>
          <w:b/>
          <w:lang w:val="fr-BE"/>
        </w:rPr>
        <w:t>nclusion et participation des PH dans tous les domaines de la vie</w:t>
      </w:r>
    </w:p>
    <w:p w:rsidR="00E30CFB" w:rsidRPr="001A0224" w:rsidRDefault="00ED0CE8" w:rsidP="00A1582E">
      <w:pPr>
        <w:pStyle w:val="ListParagraph"/>
        <w:numPr>
          <w:ilvl w:val="2"/>
          <w:numId w:val="6"/>
        </w:numPr>
        <w:ind w:left="1276"/>
        <w:rPr>
          <w:rFonts w:ascii="Calibri" w:hAnsi="Calibri"/>
          <w:b/>
          <w:lang w:val="fr-BE"/>
        </w:rPr>
      </w:pPr>
      <w:r w:rsidRPr="001A0224">
        <w:rPr>
          <w:rFonts w:ascii="Calibri" w:hAnsi="Calibri"/>
          <w:b/>
          <w:lang w:val="fr-BE"/>
        </w:rPr>
        <w:t xml:space="preserve">Approche droits de l’Homme : </w:t>
      </w:r>
    </w:p>
    <w:p w:rsidR="00E30CFB" w:rsidRPr="00592892" w:rsidRDefault="00ED0CE8" w:rsidP="00A1582E">
      <w:pPr>
        <w:pStyle w:val="ListParagraph"/>
        <w:numPr>
          <w:ilvl w:val="3"/>
          <w:numId w:val="6"/>
        </w:numPr>
        <w:ind w:left="1843"/>
        <w:rPr>
          <w:rFonts w:ascii="Calibri" w:hAnsi="Calibri"/>
          <w:lang w:val="fr-BE"/>
        </w:rPr>
      </w:pPr>
      <w:r w:rsidRPr="00592892">
        <w:rPr>
          <w:rFonts w:ascii="Calibri" w:hAnsi="Calibri"/>
          <w:lang w:val="fr-BE"/>
        </w:rPr>
        <w:t xml:space="preserve">capacité de choix, </w:t>
      </w:r>
    </w:p>
    <w:p w:rsidR="00E30CFB" w:rsidRPr="00592892" w:rsidRDefault="00ED0CE8" w:rsidP="00A1582E">
      <w:pPr>
        <w:pStyle w:val="ListParagraph"/>
        <w:numPr>
          <w:ilvl w:val="3"/>
          <w:numId w:val="6"/>
        </w:numPr>
        <w:ind w:left="1843"/>
        <w:rPr>
          <w:rFonts w:ascii="Calibri" w:hAnsi="Calibri"/>
          <w:lang w:val="fr-BE"/>
        </w:rPr>
      </w:pPr>
      <w:r w:rsidRPr="00592892">
        <w:rPr>
          <w:rFonts w:ascii="Calibri" w:hAnsi="Calibri"/>
          <w:lang w:val="fr-BE"/>
        </w:rPr>
        <w:t>protec</w:t>
      </w:r>
      <w:r w:rsidR="00E30CFB" w:rsidRPr="00592892">
        <w:rPr>
          <w:rFonts w:ascii="Calibri" w:hAnsi="Calibri"/>
          <w:lang w:val="fr-BE"/>
        </w:rPr>
        <w:t xml:space="preserve">tion contre les discriminations, </w:t>
      </w:r>
    </w:p>
    <w:p w:rsidR="00E30CFB" w:rsidRPr="00592892" w:rsidRDefault="00E30CFB" w:rsidP="00AF25AE">
      <w:pPr>
        <w:pStyle w:val="ListParagraph"/>
        <w:numPr>
          <w:ilvl w:val="3"/>
          <w:numId w:val="6"/>
        </w:numPr>
        <w:spacing w:after="240"/>
        <w:ind w:left="1843" w:hanging="357"/>
        <w:rPr>
          <w:rFonts w:ascii="Calibri" w:hAnsi="Calibri"/>
          <w:lang w:val="fr-BE"/>
        </w:rPr>
      </w:pPr>
      <w:r w:rsidRPr="00592892">
        <w:rPr>
          <w:rFonts w:ascii="Calibri" w:hAnsi="Calibri"/>
          <w:lang w:val="fr-BE"/>
        </w:rPr>
        <w:t xml:space="preserve">vie digne </w:t>
      </w:r>
    </w:p>
    <w:p w:rsidR="00E30CFB" w:rsidRPr="00AF25AE" w:rsidRDefault="00E30CFB" w:rsidP="00AF25AE">
      <w:pPr>
        <w:pStyle w:val="ListParagraph"/>
        <w:numPr>
          <w:ilvl w:val="2"/>
          <w:numId w:val="6"/>
        </w:numPr>
        <w:ind w:left="1276"/>
        <w:rPr>
          <w:rFonts w:ascii="Calibri" w:hAnsi="Calibri"/>
          <w:b/>
          <w:u w:val="single"/>
          <w:lang w:val="fr-BE"/>
        </w:rPr>
      </w:pPr>
      <w:r w:rsidRPr="00AF25AE">
        <w:rPr>
          <w:rFonts w:ascii="Calibri" w:hAnsi="Calibri"/>
          <w:b/>
          <w:u w:val="single"/>
          <w:lang w:val="fr-BE"/>
        </w:rPr>
        <w:t xml:space="preserve">Dépasser les bonnes intentions et </w:t>
      </w:r>
      <w:r w:rsidR="00180D75" w:rsidRPr="00AF25AE">
        <w:rPr>
          <w:rFonts w:ascii="Calibri" w:hAnsi="Calibri"/>
          <w:b/>
          <w:u w:val="single"/>
          <w:lang w:val="fr-BE"/>
        </w:rPr>
        <w:t xml:space="preserve">les </w:t>
      </w:r>
      <w:r w:rsidRPr="00AF25AE">
        <w:rPr>
          <w:rFonts w:ascii="Calibri" w:hAnsi="Calibri"/>
          <w:b/>
          <w:u w:val="single"/>
          <w:lang w:val="fr-BE"/>
        </w:rPr>
        <w:t>discours :</w:t>
      </w:r>
    </w:p>
    <w:p w:rsidR="00E30CFB" w:rsidRPr="00592892" w:rsidRDefault="00E30CFB" w:rsidP="00A1582E">
      <w:pPr>
        <w:pStyle w:val="ListParagraph"/>
        <w:numPr>
          <w:ilvl w:val="3"/>
          <w:numId w:val="6"/>
        </w:numPr>
        <w:ind w:left="1843"/>
        <w:rPr>
          <w:rFonts w:ascii="Calibri" w:hAnsi="Calibri"/>
          <w:lang w:val="fr-BE"/>
        </w:rPr>
      </w:pPr>
      <w:r w:rsidRPr="00592892">
        <w:rPr>
          <w:rFonts w:ascii="Calibri" w:hAnsi="Calibri"/>
          <w:lang w:val="fr-BE"/>
        </w:rPr>
        <w:t xml:space="preserve">mener des politiques concrètes </w:t>
      </w:r>
    </w:p>
    <w:p w:rsidR="00E30CFB" w:rsidRPr="00592892" w:rsidRDefault="00E30CFB" w:rsidP="00A1582E">
      <w:pPr>
        <w:pStyle w:val="ListParagraph"/>
        <w:numPr>
          <w:ilvl w:val="3"/>
          <w:numId w:val="6"/>
        </w:numPr>
        <w:ind w:left="1843"/>
        <w:rPr>
          <w:rFonts w:ascii="Calibri" w:hAnsi="Calibri"/>
          <w:lang w:val="fr-BE"/>
        </w:rPr>
      </w:pPr>
      <w:r w:rsidRPr="00592892">
        <w:rPr>
          <w:rFonts w:ascii="Calibri" w:hAnsi="Calibri"/>
          <w:lang w:val="fr-BE"/>
        </w:rPr>
        <w:t xml:space="preserve">mettre des </w:t>
      </w:r>
      <w:r w:rsidR="00A1582E">
        <w:rPr>
          <w:rFonts w:ascii="Calibri" w:hAnsi="Calibri"/>
          <w:lang w:val="fr-BE"/>
        </w:rPr>
        <w:t>m</w:t>
      </w:r>
      <w:r w:rsidR="00ED0CE8" w:rsidRPr="00592892">
        <w:rPr>
          <w:rFonts w:ascii="Calibri" w:hAnsi="Calibri"/>
          <w:lang w:val="fr-BE"/>
        </w:rPr>
        <w:t>oyens en œuvre</w:t>
      </w:r>
    </w:p>
    <w:p w:rsidR="001D284B" w:rsidRPr="00592892" w:rsidRDefault="00E30CFB" w:rsidP="00AF25AE">
      <w:pPr>
        <w:pStyle w:val="ListParagraph"/>
        <w:numPr>
          <w:ilvl w:val="3"/>
          <w:numId w:val="6"/>
        </w:numPr>
        <w:spacing w:after="240"/>
        <w:ind w:left="1843" w:hanging="357"/>
        <w:rPr>
          <w:rFonts w:ascii="Calibri" w:hAnsi="Calibri"/>
          <w:lang w:val="fr-BE"/>
        </w:rPr>
      </w:pPr>
      <w:r w:rsidRPr="00592892">
        <w:rPr>
          <w:rFonts w:ascii="Calibri" w:hAnsi="Calibri"/>
          <w:lang w:val="fr-BE"/>
        </w:rPr>
        <w:t>renforcer les</w:t>
      </w:r>
      <w:r w:rsidR="00ED0CE8" w:rsidRPr="00592892">
        <w:rPr>
          <w:rFonts w:ascii="Calibri" w:hAnsi="Calibri"/>
          <w:lang w:val="fr-BE"/>
        </w:rPr>
        <w:t xml:space="preserve"> aménagements raisonnables </w:t>
      </w:r>
    </w:p>
    <w:p w:rsidR="00E30CFB" w:rsidRPr="00592892" w:rsidRDefault="00E30CFB" w:rsidP="00AF25AE">
      <w:pPr>
        <w:pStyle w:val="ListParagraph"/>
        <w:numPr>
          <w:ilvl w:val="0"/>
          <w:numId w:val="7"/>
        </w:numPr>
        <w:spacing w:after="240"/>
        <w:ind w:left="1276" w:hanging="357"/>
        <w:rPr>
          <w:rFonts w:ascii="Calibri" w:hAnsi="Calibri"/>
          <w:b/>
          <w:highlight w:val="yellow"/>
          <w:lang w:val="fr-BE"/>
        </w:rPr>
      </w:pPr>
      <w:r w:rsidRPr="001A0224">
        <w:rPr>
          <w:rFonts w:ascii="Calibri" w:hAnsi="Calibri"/>
          <w:b/>
          <w:highlight w:val="yellow"/>
          <w:lang w:val="fr-BE"/>
        </w:rPr>
        <w:t xml:space="preserve">Ce qui est attendu de </w:t>
      </w:r>
      <w:r w:rsidRPr="00592892">
        <w:rPr>
          <w:rFonts w:ascii="Calibri" w:hAnsi="Calibri"/>
          <w:b/>
          <w:highlight w:val="yellow"/>
          <w:lang w:val="fr-BE"/>
        </w:rPr>
        <w:t xml:space="preserve">l’UE : </w:t>
      </w:r>
      <w:r w:rsidR="00180D75">
        <w:rPr>
          <w:rFonts w:ascii="Calibri" w:hAnsi="Calibri"/>
          <w:b/>
          <w:highlight w:val="yellow"/>
          <w:lang w:val="fr-BE"/>
        </w:rPr>
        <w:t>6</w:t>
      </w:r>
      <w:r w:rsidRPr="00592892">
        <w:rPr>
          <w:rFonts w:ascii="Calibri" w:hAnsi="Calibri"/>
          <w:b/>
          <w:highlight w:val="yellow"/>
          <w:lang w:val="fr-BE"/>
        </w:rPr>
        <w:t xml:space="preserve"> dossiers concrets à pousser très rapidement  :</w:t>
      </w:r>
    </w:p>
    <w:p w:rsidR="00E30CFB" w:rsidRPr="001A0224" w:rsidRDefault="00E30CFB" w:rsidP="00AF25AE">
      <w:pPr>
        <w:pStyle w:val="ListParagraph"/>
        <w:numPr>
          <w:ilvl w:val="0"/>
          <w:numId w:val="8"/>
        </w:numPr>
        <w:ind w:left="1843"/>
        <w:rPr>
          <w:rFonts w:ascii="Calibri" w:hAnsi="Calibri"/>
          <w:b/>
          <w:sz w:val="28"/>
          <w:szCs w:val="28"/>
          <w:u w:val="single"/>
          <w:lang w:val="fr-BE"/>
        </w:rPr>
      </w:pPr>
      <w:commentRangeStart w:id="1"/>
      <w:r w:rsidRPr="001A0224">
        <w:rPr>
          <w:rFonts w:ascii="Calibri" w:hAnsi="Calibri"/>
          <w:b/>
          <w:sz w:val="28"/>
          <w:szCs w:val="28"/>
          <w:u w:val="single"/>
          <w:lang w:val="fr-BE"/>
        </w:rPr>
        <w:t>Carte de mobilité des PH </w:t>
      </w:r>
      <w:commentRangeEnd w:id="1"/>
      <w:r w:rsidRPr="001A0224">
        <w:rPr>
          <w:rStyle w:val="CommentReference"/>
          <w:rFonts w:ascii="Calibri" w:hAnsi="Calibri" w:cstheme="minorBidi"/>
          <w:sz w:val="28"/>
          <w:szCs w:val="28"/>
          <w:lang w:eastAsia="en-US"/>
        </w:rPr>
        <w:commentReference w:id="1"/>
      </w:r>
    </w:p>
    <w:p w:rsidR="001A0224" w:rsidRPr="00592892" w:rsidRDefault="001A0224" w:rsidP="00E30CFB">
      <w:pPr>
        <w:pStyle w:val="ListParagraph"/>
        <w:numPr>
          <w:ilvl w:val="4"/>
          <w:numId w:val="6"/>
        </w:numPr>
        <w:rPr>
          <w:rFonts w:ascii="Calibri" w:hAnsi="Calibri"/>
          <w:lang w:val="fr-BE"/>
        </w:rPr>
      </w:pPr>
      <w:r w:rsidRPr="00592892">
        <w:rPr>
          <w:rFonts w:ascii="Calibri" w:hAnsi="Calibri"/>
          <w:lang w:val="fr-BE"/>
        </w:rPr>
        <w:t>Pilier européen</w:t>
      </w:r>
      <w:r w:rsidR="00E908DE">
        <w:rPr>
          <w:rFonts w:ascii="Calibri" w:hAnsi="Calibri"/>
          <w:lang w:val="fr-BE"/>
        </w:rPr>
        <w:t xml:space="preserve"> : </w:t>
      </w:r>
      <w:r w:rsidRPr="00592892">
        <w:rPr>
          <w:rFonts w:ascii="Calibri" w:hAnsi="Calibri"/>
          <w:lang w:val="fr-BE"/>
        </w:rPr>
        <w:t>liberté de circulation</w:t>
      </w:r>
    </w:p>
    <w:p w:rsidR="00E30CFB" w:rsidRPr="00592892" w:rsidRDefault="00E30CFB" w:rsidP="00E30CFB">
      <w:pPr>
        <w:pStyle w:val="ListParagraph"/>
        <w:numPr>
          <w:ilvl w:val="4"/>
          <w:numId w:val="6"/>
        </w:numPr>
        <w:rPr>
          <w:rFonts w:ascii="Calibri" w:hAnsi="Calibri"/>
          <w:lang w:val="fr-BE"/>
        </w:rPr>
      </w:pPr>
      <w:r w:rsidRPr="00592892">
        <w:rPr>
          <w:rFonts w:ascii="Calibri" w:hAnsi="Calibri"/>
          <w:lang w:val="fr-BE"/>
        </w:rPr>
        <w:t>Choix de la demander et de la présenter</w:t>
      </w:r>
    </w:p>
    <w:p w:rsidR="00E30CFB" w:rsidRPr="00592892" w:rsidRDefault="00E30CFB" w:rsidP="00E30CFB">
      <w:pPr>
        <w:pStyle w:val="ListParagraph"/>
        <w:numPr>
          <w:ilvl w:val="4"/>
          <w:numId w:val="6"/>
        </w:numPr>
        <w:rPr>
          <w:rFonts w:ascii="Calibri" w:hAnsi="Calibri"/>
          <w:lang w:val="fr-BE"/>
        </w:rPr>
      </w:pPr>
      <w:r w:rsidRPr="00592892">
        <w:rPr>
          <w:rFonts w:ascii="Calibri" w:hAnsi="Calibri"/>
          <w:lang w:val="fr-BE"/>
        </w:rPr>
        <w:t>Critères de reconnaissance nationaux et reconnaissance mutuelle</w:t>
      </w:r>
    </w:p>
    <w:p w:rsidR="00E30CFB" w:rsidRPr="00AF25AE" w:rsidRDefault="00E30CFB" w:rsidP="00E30CFB">
      <w:pPr>
        <w:pStyle w:val="ListParagraph"/>
        <w:numPr>
          <w:ilvl w:val="4"/>
          <w:numId w:val="6"/>
        </w:numPr>
        <w:rPr>
          <w:rFonts w:ascii="Calibri" w:hAnsi="Calibri"/>
          <w:lang w:val="fr-BE"/>
        </w:rPr>
      </w:pPr>
      <w:r w:rsidRPr="00592892">
        <w:rPr>
          <w:rFonts w:ascii="Calibri" w:hAnsi="Calibri"/>
          <w:lang w:val="fr-BE"/>
        </w:rPr>
        <w:t>Compensations définies par chaque état</w:t>
      </w:r>
    </w:p>
    <w:p w:rsidR="00E30CFB" w:rsidRPr="001A0224" w:rsidRDefault="00592892" w:rsidP="00AF25AE">
      <w:pPr>
        <w:pStyle w:val="ListParagraph"/>
        <w:numPr>
          <w:ilvl w:val="1"/>
          <w:numId w:val="7"/>
        </w:numPr>
        <w:spacing w:after="120"/>
        <w:ind w:left="2716" w:hanging="357"/>
        <w:rPr>
          <w:rFonts w:ascii="Calibri" w:hAnsi="Calibri"/>
          <w:b/>
          <w:lang w:val="fr-BE"/>
        </w:rPr>
      </w:pPr>
      <w:r>
        <w:rPr>
          <w:rFonts w:ascii="Calibri" w:hAnsi="Calibri"/>
          <w:b/>
          <w:lang w:val="fr-BE"/>
        </w:rPr>
        <w:t>fa</w:t>
      </w:r>
      <w:r w:rsidR="001A0224">
        <w:rPr>
          <w:rFonts w:ascii="Calibri" w:hAnsi="Calibri"/>
          <w:b/>
          <w:lang w:val="fr-BE"/>
        </w:rPr>
        <w:t>ciliter</w:t>
      </w:r>
      <w:r w:rsidR="00E30CFB" w:rsidRPr="001A0224">
        <w:rPr>
          <w:rFonts w:ascii="Calibri" w:hAnsi="Calibri"/>
          <w:b/>
          <w:lang w:val="fr-BE"/>
        </w:rPr>
        <w:t xml:space="preserve"> </w:t>
      </w:r>
      <w:r w:rsidR="001A0224">
        <w:rPr>
          <w:rFonts w:ascii="Calibri" w:hAnsi="Calibri"/>
          <w:b/>
          <w:lang w:val="fr-BE"/>
        </w:rPr>
        <w:t xml:space="preserve">la </w:t>
      </w:r>
      <w:r w:rsidR="00E30CFB" w:rsidRPr="001A0224">
        <w:rPr>
          <w:rFonts w:ascii="Calibri" w:hAnsi="Calibri"/>
          <w:b/>
          <w:lang w:val="fr-BE"/>
        </w:rPr>
        <w:t xml:space="preserve">circulation </w:t>
      </w:r>
      <w:r w:rsidR="001A0224">
        <w:rPr>
          <w:rFonts w:ascii="Calibri" w:hAnsi="Calibri"/>
          <w:b/>
          <w:lang w:val="fr-BE"/>
        </w:rPr>
        <w:t>des PH et d</w:t>
      </w:r>
      <w:r>
        <w:rPr>
          <w:rFonts w:ascii="Calibri" w:hAnsi="Calibri"/>
          <w:b/>
          <w:lang w:val="fr-BE"/>
        </w:rPr>
        <w:t>e</w:t>
      </w:r>
      <w:r w:rsidR="001A0224">
        <w:rPr>
          <w:rFonts w:ascii="Calibri" w:hAnsi="Calibri"/>
          <w:b/>
          <w:lang w:val="fr-BE"/>
        </w:rPr>
        <w:t xml:space="preserve"> tous les citoyens</w:t>
      </w:r>
      <w:r>
        <w:rPr>
          <w:rFonts w:ascii="Calibri" w:hAnsi="Calibri"/>
          <w:b/>
          <w:lang w:val="fr-BE"/>
        </w:rPr>
        <w:t xml:space="preserve"> (vieillissement !)</w:t>
      </w:r>
      <w:r w:rsidR="001A0224">
        <w:rPr>
          <w:rFonts w:ascii="Calibri" w:hAnsi="Calibri"/>
          <w:b/>
          <w:lang w:val="fr-BE"/>
        </w:rPr>
        <w:t xml:space="preserve"> </w:t>
      </w:r>
      <w:r w:rsidR="00E30CFB" w:rsidRPr="001A0224">
        <w:rPr>
          <w:rFonts w:ascii="Calibri" w:hAnsi="Calibri"/>
          <w:b/>
          <w:lang w:val="fr-BE"/>
        </w:rPr>
        <w:t>et soutien à un marché économique</w:t>
      </w:r>
      <w:r>
        <w:rPr>
          <w:rFonts w:ascii="Calibri" w:hAnsi="Calibri"/>
          <w:b/>
          <w:lang w:val="fr-BE"/>
        </w:rPr>
        <w:t xml:space="preserve"> à développer </w:t>
      </w:r>
    </w:p>
    <w:p w:rsidR="00E30CFB" w:rsidRPr="00592892" w:rsidRDefault="00E30CFB" w:rsidP="00AF25AE">
      <w:pPr>
        <w:pStyle w:val="ListParagraph"/>
        <w:numPr>
          <w:ilvl w:val="0"/>
          <w:numId w:val="8"/>
        </w:numPr>
        <w:spacing w:after="120"/>
        <w:ind w:left="1843" w:hanging="357"/>
        <w:rPr>
          <w:rFonts w:ascii="Calibri" w:hAnsi="Calibri"/>
          <w:b/>
          <w:sz w:val="28"/>
          <w:szCs w:val="28"/>
          <w:lang w:val="fr-BE"/>
        </w:rPr>
      </w:pPr>
      <w:commentRangeStart w:id="2"/>
      <w:r w:rsidRPr="00AF25AE">
        <w:rPr>
          <w:rFonts w:ascii="Calibri" w:hAnsi="Calibri"/>
          <w:b/>
          <w:sz w:val="28"/>
          <w:szCs w:val="28"/>
          <w:u w:val="single"/>
        </w:rPr>
        <w:t>European</w:t>
      </w:r>
      <w:r w:rsidRPr="00592892">
        <w:rPr>
          <w:rFonts w:ascii="Calibri" w:hAnsi="Calibri"/>
          <w:b/>
          <w:sz w:val="28"/>
          <w:szCs w:val="28"/>
          <w:u w:val="single"/>
          <w:lang w:val="fr-BE"/>
        </w:rPr>
        <w:t xml:space="preserve"> </w:t>
      </w:r>
      <w:r w:rsidRPr="00AF25AE">
        <w:rPr>
          <w:rFonts w:ascii="Calibri" w:hAnsi="Calibri"/>
          <w:b/>
          <w:sz w:val="28"/>
          <w:szCs w:val="28"/>
          <w:u w:val="single"/>
        </w:rPr>
        <w:t>Accessibility</w:t>
      </w:r>
      <w:r w:rsidRPr="00592892">
        <w:rPr>
          <w:rFonts w:ascii="Calibri" w:hAnsi="Calibri"/>
          <w:b/>
          <w:sz w:val="28"/>
          <w:szCs w:val="28"/>
          <w:u w:val="single"/>
          <w:lang w:val="fr-BE"/>
        </w:rPr>
        <w:t xml:space="preserve"> </w:t>
      </w:r>
      <w:proofErr w:type="spellStart"/>
      <w:r w:rsidRPr="00592892">
        <w:rPr>
          <w:rFonts w:ascii="Calibri" w:hAnsi="Calibri"/>
          <w:b/>
          <w:sz w:val="28"/>
          <w:szCs w:val="28"/>
          <w:u w:val="single"/>
          <w:lang w:val="fr-BE"/>
        </w:rPr>
        <w:t>Act</w:t>
      </w:r>
      <w:proofErr w:type="spellEnd"/>
      <w:r w:rsidRPr="00592892">
        <w:rPr>
          <w:rFonts w:ascii="Calibri" w:hAnsi="Calibri"/>
          <w:b/>
          <w:sz w:val="28"/>
          <w:szCs w:val="28"/>
          <w:lang w:val="fr-BE"/>
        </w:rPr>
        <w:t> </w:t>
      </w:r>
      <w:commentRangeEnd w:id="2"/>
      <w:r w:rsidRPr="00592892">
        <w:rPr>
          <w:rStyle w:val="CommentReference"/>
          <w:rFonts w:ascii="Calibri" w:hAnsi="Calibri" w:cstheme="minorBidi"/>
          <w:sz w:val="28"/>
          <w:szCs w:val="28"/>
          <w:lang w:eastAsia="en-US"/>
        </w:rPr>
        <w:commentReference w:id="2"/>
      </w:r>
    </w:p>
    <w:p w:rsidR="00E30CFB" w:rsidRPr="001A0224" w:rsidRDefault="00E30CFB" w:rsidP="00AF25AE">
      <w:pPr>
        <w:pStyle w:val="ListParagraph"/>
        <w:numPr>
          <w:ilvl w:val="0"/>
          <w:numId w:val="8"/>
        </w:numPr>
        <w:ind w:left="1843"/>
        <w:rPr>
          <w:rFonts w:ascii="Calibri" w:hAnsi="Calibri"/>
          <w:b/>
          <w:lang w:val="fr-BE"/>
        </w:rPr>
      </w:pPr>
      <w:commentRangeStart w:id="3"/>
      <w:r w:rsidRPr="00BB78AF">
        <w:rPr>
          <w:rFonts w:ascii="Calibri" w:hAnsi="Calibri"/>
          <w:b/>
          <w:sz w:val="28"/>
          <w:szCs w:val="28"/>
          <w:u w:val="single"/>
          <w:lang w:val="fr-BE"/>
        </w:rPr>
        <w:t>Emploi des PH</w:t>
      </w:r>
      <w:r w:rsidRPr="001A0224">
        <w:rPr>
          <w:rFonts w:ascii="Calibri" w:hAnsi="Calibri"/>
          <w:b/>
          <w:lang w:val="fr-BE"/>
        </w:rPr>
        <w:t> </w:t>
      </w:r>
      <w:commentRangeEnd w:id="3"/>
      <w:r w:rsidRPr="001A0224">
        <w:rPr>
          <w:rStyle w:val="CommentReference"/>
          <w:rFonts w:ascii="Calibri" w:hAnsi="Calibri" w:cstheme="minorBidi"/>
          <w:lang w:eastAsia="en-US"/>
        </w:rPr>
        <w:commentReference w:id="3"/>
      </w:r>
      <w:r w:rsidRPr="001A0224">
        <w:rPr>
          <w:rFonts w:ascii="Calibri" w:hAnsi="Calibri"/>
          <w:b/>
          <w:lang w:val="fr-BE"/>
        </w:rPr>
        <w:t>: chiffres européens catastrophiques ! Ecart moyen de plus de 20% entre l’emploi des pers</w:t>
      </w:r>
      <w:r w:rsidR="00E908DE">
        <w:rPr>
          <w:rFonts w:ascii="Calibri" w:hAnsi="Calibri"/>
          <w:b/>
          <w:lang w:val="fr-BE"/>
        </w:rPr>
        <w:t>onnes</w:t>
      </w:r>
      <w:r w:rsidRPr="001A0224">
        <w:rPr>
          <w:rFonts w:ascii="Calibri" w:hAnsi="Calibri"/>
          <w:b/>
          <w:lang w:val="fr-BE"/>
        </w:rPr>
        <w:t xml:space="preserve"> valides et PH ! Inacceptable !!! Directive 2000/78 à pousser et renforcer !</w:t>
      </w:r>
    </w:p>
    <w:p w:rsidR="00E30CFB" w:rsidRPr="001A0224" w:rsidRDefault="00E30CFB" w:rsidP="00E908DE">
      <w:pPr>
        <w:pStyle w:val="ListParagraph"/>
        <w:numPr>
          <w:ilvl w:val="5"/>
          <w:numId w:val="6"/>
        </w:numPr>
        <w:ind w:left="3544"/>
        <w:rPr>
          <w:rFonts w:ascii="Calibri" w:hAnsi="Calibri"/>
          <w:lang w:val="fr-BE"/>
        </w:rPr>
      </w:pPr>
      <w:r w:rsidRPr="001A0224">
        <w:rPr>
          <w:rFonts w:ascii="Calibri" w:hAnsi="Calibri"/>
          <w:lang w:val="fr-BE"/>
        </w:rPr>
        <w:t>Alibi de la crise.</w:t>
      </w:r>
    </w:p>
    <w:p w:rsidR="00E30CFB" w:rsidRPr="001A0224" w:rsidRDefault="00E30CFB" w:rsidP="00E908DE">
      <w:pPr>
        <w:pStyle w:val="ListParagraph"/>
        <w:numPr>
          <w:ilvl w:val="5"/>
          <w:numId w:val="6"/>
        </w:numPr>
        <w:ind w:left="3544"/>
        <w:rPr>
          <w:rFonts w:ascii="Calibri" w:hAnsi="Calibri"/>
          <w:lang w:val="fr-BE"/>
        </w:rPr>
      </w:pPr>
      <w:r w:rsidRPr="001A0224">
        <w:rPr>
          <w:rFonts w:ascii="Calibri" w:hAnsi="Calibri"/>
          <w:lang w:val="fr-BE"/>
        </w:rPr>
        <w:lastRenderedPageBreak/>
        <w:t>Responsabilité sociale des employeurs</w:t>
      </w:r>
      <w:r w:rsidR="00180D75">
        <w:rPr>
          <w:rFonts w:ascii="Calibri" w:hAnsi="Calibri"/>
          <w:lang w:val="fr-BE"/>
        </w:rPr>
        <w:t xml:space="preserve"> : actuellement les politiques de soutien aux employeurs fleurissent mais sans </w:t>
      </w:r>
      <w:r w:rsidR="00DB6E0F">
        <w:rPr>
          <w:rFonts w:ascii="Calibri" w:hAnsi="Calibri"/>
          <w:lang w:val="fr-BE"/>
        </w:rPr>
        <w:t>réelle contrepartie sur le plan de l’obligation d’engagements. C’est inacceptable !!!</w:t>
      </w:r>
    </w:p>
    <w:p w:rsidR="00E30CFB" w:rsidRPr="001A0224" w:rsidRDefault="00E30CFB" w:rsidP="00E908DE">
      <w:pPr>
        <w:pStyle w:val="ListParagraph"/>
        <w:numPr>
          <w:ilvl w:val="5"/>
          <w:numId w:val="6"/>
        </w:numPr>
        <w:ind w:left="3544"/>
        <w:rPr>
          <w:rFonts w:ascii="Calibri" w:hAnsi="Calibri"/>
          <w:lang w:val="fr-BE"/>
        </w:rPr>
      </w:pPr>
      <w:r w:rsidRPr="001A0224">
        <w:rPr>
          <w:rFonts w:ascii="Calibri" w:hAnsi="Calibri"/>
          <w:lang w:val="fr-BE"/>
        </w:rPr>
        <w:t>Bonnes pratiques dans les Etats : à généraliser ?</w:t>
      </w:r>
    </w:p>
    <w:p w:rsidR="00E30CFB" w:rsidRPr="001A0224" w:rsidRDefault="00E30CFB" w:rsidP="00AF25AE">
      <w:pPr>
        <w:pStyle w:val="ListParagraph"/>
        <w:numPr>
          <w:ilvl w:val="5"/>
          <w:numId w:val="6"/>
        </w:numPr>
        <w:spacing w:after="120"/>
        <w:ind w:left="3544" w:hanging="357"/>
        <w:rPr>
          <w:rFonts w:ascii="Calibri" w:hAnsi="Calibri"/>
          <w:b/>
          <w:lang w:val="fr-BE"/>
        </w:rPr>
      </w:pPr>
      <w:r w:rsidRPr="001A0224">
        <w:rPr>
          <w:rFonts w:ascii="Calibri" w:hAnsi="Calibri"/>
          <w:b/>
          <w:lang w:val="fr-BE"/>
        </w:rPr>
        <w:t xml:space="preserve">Dans les prochaines recommandations aux Etats pour PNR 2016, </w:t>
      </w:r>
      <w:r w:rsidR="001647C1" w:rsidRPr="001A0224">
        <w:rPr>
          <w:rFonts w:ascii="Calibri" w:hAnsi="Calibri"/>
          <w:b/>
          <w:u w:val="single"/>
          <w:lang w:val="fr-BE"/>
        </w:rPr>
        <w:t>IL FAUT</w:t>
      </w:r>
      <w:r w:rsidR="001647C1" w:rsidRPr="001A0224">
        <w:rPr>
          <w:rFonts w:ascii="Calibri" w:hAnsi="Calibri"/>
          <w:b/>
          <w:lang w:val="fr-BE"/>
        </w:rPr>
        <w:t xml:space="preserve"> </w:t>
      </w:r>
      <w:r w:rsidRPr="001A0224">
        <w:rPr>
          <w:rFonts w:ascii="Calibri" w:hAnsi="Calibri"/>
          <w:b/>
          <w:lang w:val="fr-BE"/>
        </w:rPr>
        <w:t xml:space="preserve">prévoir un volet emploi PH </w:t>
      </w:r>
    </w:p>
    <w:p w:rsidR="001647C1" w:rsidRPr="001A0224" w:rsidRDefault="00E30CFB" w:rsidP="00AF25AE">
      <w:pPr>
        <w:pStyle w:val="ListParagraph"/>
        <w:numPr>
          <w:ilvl w:val="0"/>
          <w:numId w:val="8"/>
        </w:numPr>
        <w:ind w:left="1843"/>
        <w:rPr>
          <w:rFonts w:ascii="Calibri" w:hAnsi="Calibri"/>
          <w:b/>
          <w:lang w:val="fr-BE"/>
        </w:rPr>
      </w:pPr>
      <w:commentRangeStart w:id="4"/>
      <w:r w:rsidRPr="00592892">
        <w:rPr>
          <w:rFonts w:ascii="Calibri" w:hAnsi="Calibri"/>
          <w:b/>
          <w:sz w:val="28"/>
          <w:szCs w:val="28"/>
          <w:u w:val="single"/>
          <w:lang w:val="fr-BE"/>
        </w:rPr>
        <w:t xml:space="preserve">La protection sociale </w:t>
      </w:r>
      <w:r w:rsidR="00592892" w:rsidRPr="00592892">
        <w:rPr>
          <w:rFonts w:ascii="Calibri" w:hAnsi="Calibri"/>
          <w:b/>
          <w:sz w:val="28"/>
          <w:szCs w:val="28"/>
          <w:u w:val="single"/>
          <w:lang w:val="fr-BE"/>
        </w:rPr>
        <w:t>des PH</w:t>
      </w:r>
      <w:r w:rsidR="00E908DE">
        <w:rPr>
          <w:rFonts w:ascii="Calibri" w:hAnsi="Calibri"/>
          <w:b/>
          <w:u w:val="single"/>
          <w:lang w:val="fr-BE"/>
        </w:rPr>
        <w:t>,</w:t>
      </w:r>
      <w:r w:rsidR="00592892">
        <w:rPr>
          <w:rFonts w:ascii="Calibri" w:hAnsi="Calibri"/>
          <w:b/>
          <w:u w:val="single"/>
          <w:lang w:val="fr-BE"/>
        </w:rPr>
        <w:t xml:space="preserve"> renvoie au </w:t>
      </w:r>
      <w:r w:rsidRPr="001A0224">
        <w:rPr>
          <w:rFonts w:ascii="Calibri" w:hAnsi="Calibri"/>
          <w:b/>
          <w:u w:val="single"/>
          <w:lang w:val="fr-BE"/>
        </w:rPr>
        <w:t>pilier social de la Stratégie 2020 </w:t>
      </w:r>
      <w:commentRangeEnd w:id="4"/>
      <w:r w:rsidR="00BE3933">
        <w:rPr>
          <w:rStyle w:val="CommentReference"/>
          <w:rFonts w:asciiTheme="minorHAnsi" w:hAnsiTheme="minorHAnsi" w:cstheme="minorBidi"/>
          <w:lang w:eastAsia="en-US"/>
        </w:rPr>
        <w:commentReference w:id="4"/>
      </w:r>
      <w:r w:rsidRPr="001A0224">
        <w:rPr>
          <w:rFonts w:ascii="Calibri" w:hAnsi="Calibri"/>
          <w:b/>
          <w:u w:val="single"/>
          <w:lang w:val="fr-BE"/>
        </w:rPr>
        <w:t xml:space="preserve">: </w:t>
      </w:r>
      <w:r w:rsidR="001647C1" w:rsidRPr="001A0224">
        <w:rPr>
          <w:rFonts w:ascii="Calibri" w:hAnsi="Calibri"/>
          <w:b/>
          <w:lang w:val="fr-BE"/>
        </w:rPr>
        <w:t xml:space="preserve">le handicap est triplement pénalisant pour les PH : </w:t>
      </w:r>
    </w:p>
    <w:p w:rsidR="001647C1" w:rsidRPr="001A0224" w:rsidRDefault="001647C1" w:rsidP="00E908DE">
      <w:pPr>
        <w:pStyle w:val="ListParagraph"/>
        <w:numPr>
          <w:ilvl w:val="2"/>
          <w:numId w:val="8"/>
        </w:numPr>
        <w:ind w:left="3544"/>
        <w:rPr>
          <w:rFonts w:ascii="Calibri" w:hAnsi="Calibri"/>
          <w:lang w:val="fr-BE"/>
        </w:rPr>
      </w:pPr>
      <w:r w:rsidRPr="001A0224">
        <w:rPr>
          <w:rFonts w:ascii="Calibri" w:hAnsi="Calibri"/>
          <w:lang w:val="fr-BE"/>
        </w:rPr>
        <w:t>Sur le plan de la santé personnelle</w:t>
      </w:r>
    </w:p>
    <w:p w:rsidR="001647C1" w:rsidRPr="001A0224" w:rsidRDefault="001647C1" w:rsidP="00E908DE">
      <w:pPr>
        <w:pStyle w:val="ListParagraph"/>
        <w:numPr>
          <w:ilvl w:val="2"/>
          <w:numId w:val="8"/>
        </w:numPr>
        <w:ind w:left="3544"/>
        <w:rPr>
          <w:rFonts w:ascii="Calibri" w:hAnsi="Calibri"/>
          <w:lang w:val="fr-BE"/>
        </w:rPr>
      </w:pPr>
      <w:r w:rsidRPr="001A0224">
        <w:rPr>
          <w:rFonts w:ascii="Calibri" w:hAnsi="Calibri"/>
          <w:lang w:val="fr-BE"/>
        </w:rPr>
        <w:t>Sur le plan de l’inclusion sociétale</w:t>
      </w:r>
    </w:p>
    <w:p w:rsidR="001647C1" w:rsidRPr="001A0224" w:rsidRDefault="001647C1" w:rsidP="00AF25AE">
      <w:pPr>
        <w:pStyle w:val="ListParagraph"/>
        <w:numPr>
          <w:ilvl w:val="2"/>
          <w:numId w:val="8"/>
        </w:numPr>
        <w:spacing w:after="120"/>
        <w:ind w:left="3543" w:hanging="181"/>
        <w:rPr>
          <w:rFonts w:ascii="Calibri" w:hAnsi="Calibri"/>
          <w:lang w:val="fr-BE"/>
        </w:rPr>
      </w:pPr>
      <w:r w:rsidRPr="001A0224">
        <w:rPr>
          <w:rFonts w:ascii="Calibri" w:hAnsi="Calibri"/>
          <w:lang w:val="fr-BE"/>
        </w:rPr>
        <w:t xml:space="preserve">Sur le plan de la dignité de vie </w:t>
      </w:r>
    </w:p>
    <w:p w:rsidR="00E30CFB" w:rsidRDefault="001647C1" w:rsidP="00AF25AE">
      <w:pPr>
        <w:pStyle w:val="ListParagraph"/>
        <w:spacing w:after="120"/>
        <w:ind w:left="2880"/>
        <w:rPr>
          <w:rFonts w:ascii="Calibri" w:hAnsi="Calibri"/>
          <w:b/>
          <w:lang w:val="fr-BE"/>
        </w:rPr>
      </w:pPr>
      <w:r w:rsidRPr="001A0224">
        <w:rPr>
          <w:rFonts w:ascii="Calibri" w:hAnsi="Calibri"/>
          <w:b/>
          <w:lang w:val="fr-BE"/>
        </w:rPr>
        <w:t xml:space="preserve">Sous la présidence belge en 2010, des engagements </w:t>
      </w:r>
      <w:r w:rsidR="00E908DE">
        <w:rPr>
          <w:rFonts w:ascii="Calibri" w:hAnsi="Calibri"/>
          <w:b/>
          <w:lang w:val="fr-BE"/>
        </w:rPr>
        <w:t xml:space="preserve">en faveur </w:t>
      </w:r>
      <w:r w:rsidRPr="001A0224">
        <w:rPr>
          <w:rFonts w:ascii="Calibri" w:hAnsi="Calibri"/>
          <w:b/>
          <w:lang w:val="fr-BE"/>
        </w:rPr>
        <w:t xml:space="preserve">de l’accès pour tous à un revenu décent et </w:t>
      </w:r>
      <w:r w:rsidR="00E908DE">
        <w:rPr>
          <w:rFonts w:ascii="Calibri" w:hAnsi="Calibri"/>
          <w:b/>
          <w:lang w:val="fr-BE"/>
        </w:rPr>
        <w:t xml:space="preserve">à </w:t>
      </w:r>
      <w:r w:rsidRPr="001A0224">
        <w:rPr>
          <w:rFonts w:ascii="Calibri" w:hAnsi="Calibri"/>
          <w:b/>
          <w:lang w:val="fr-BE"/>
        </w:rPr>
        <w:t xml:space="preserve">des services minima avait été pris. Il </w:t>
      </w:r>
      <w:r w:rsidR="00592892">
        <w:rPr>
          <w:rFonts w:ascii="Calibri" w:hAnsi="Calibri"/>
          <w:b/>
          <w:lang w:val="fr-BE"/>
        </w:rPr>
        <w:t>FAUT LES RELANCER</w:t>
      </w:r>
    </w:p>
    <w:p w:rsidR="00180D75" w:rsidRPr="00180D75" w:rsidRDefault="00180D75" w:rsidP="00AF25AE">
      <w:pPr>
        <w:pStyle w:val="ListParagraph"/>
        <w:numPr>
          <w:ilvl w:val="0"/>
          <w:numId w:val="8"/>
        </w:numPr>
        <w:ind w:left="1843"/>
        <w:rPr>
          <w:rFonts w:ascii="Calibri" w:hAnsi="Calibri"/>
          <w:b/>
          <w:u w:val="single"/>
          <w:lang w:val="fr-BE"/>
        </w:rPr>
      </w:pPr>
      <w:commentRangeStart w:id="5"/>
      <w:r w:rsidRPr="00BB78AF">
        <w:rPr>
          <w:rFonts w:ascii="Calibri" w:hAnsi="Calibri"/>
          <w:b/>
          <w:sz w:val="28"/>
          <w:szCs w:val="28"/>
          <w:u w:val="single"/>
          <w:lang w:val="fr-BE"/>
        </w:rPr>
        <w:t>Les fonds structurels</w:t>
      </w:r>
      <w:r w:rsidRPr="00180D75">
        <w:rPr>
          <w:rFonts w:ascii="Calibri" w:hAnsi="Calibri"/>
          <w:b/>
          <w:u w:val="single"/>
          <w:lang w:val="fr-BE"/>
        </w:rPr>
        <w:t xml:space="preserve"> comme outils de soutien à l’inclusion des PH</w:t>
      </w:r>
      <w:commentRangeEnd w:id="5"/>
      <w:r w:rsidR="00BE3933">
        <w:rPr>
          <w:rStyle w:val="CommentReference"/>
          <w:rFonts w:asciiTheme="minorHAnsi" w:hAnsiTheme="minorHAnsi" w:cstheme="minorBidi"/>
          <w:lang w:eastAsia="en-US"/>
        </w:rPr>
        <w:commentReference w:id="5"/>
      </w:r>
    </w:p>
    <w:p w:rsidR="00BE3933" w:rsidRDefault="00BB78AF" w:rsidP="00BB78AF">
      <w:pPr>
        <w:ind w:left="2880"/>
        <w:rPr>
          <w:rFonts w:ascii="Calibri" w:hAnsi="Calibri"/>
          <w:sz w:val="24"/>
          <w:szCs w:val="24"/>
          <w:lang w:val="fr-BE"/>
        </w:rPr>
      </w:pPr>
      <w:r w:rsidRPr="00BB78AF">
        <w:rPr>
          <w:rFonts w:ascii="Calibri" w:hAnsi="Calibri"/>
          <w:sz w:val="24"/>
          <w:szCs w:val="24"/>
          <w:lang w:val="fr-BE"/>
        </w:rPr>
        <w:t xml:space="preserve">La réglementation européenne est très bonne mais il manque vraiment le développement au </w:t>
      </w:r>
      <w:proofErr w:type="spellStart"/>
      <w:r w:rsidRPr="00BB78AF">
        <w:rPr>
          <w:rFonts w:ascii="Calibri" w:hAnsi="Calibri"/>
          <w:sz w:val="24"/>
          <w:szCs w:val="24"/>
          <w:lang w:val="fr-BE"/>
        </w:rPr>
        <w:t>niveaudes</w:t>
      </w:r>
      <w:proofErr w:type="spellEnd"/>
      <w:r w:rsidRPr="00BB78AF">
        <w:rPr>
          <w:rFonts w:ascii="Calibri" w:hAnsi="Calibri"/>
          <w:sz w:val="24"/>
          <w:szCs w:val="24"/>
          <w:lang w:val="fr-BE"/>
        </w:rPr>
        <w:t xml:space="preserve"> projets eux-mêmes. Il faut que le contrôle de la Commission </w:t>
      </w:r>
      <w:r w:rsidR="00E908DE">
        <w:rPr>
          <w:rFonts w:ascii="Calibri" w:hAnsi="Calibri"/>
          <w:sz w:val="24"/>
          <w:szCs w:val="24"/>
          <w:lang w:val="fr-BE"/>
        </w:rPr>
        <w:t xml:space="preserve">européenne (CE) </w:t>
      </w:r>
      <w:r w:rsidRPr="00BB78AF">
        <w:rPr>
          <w:rFonts w:ascii="Calibri" w:hAnsi="Calibri"/>
          <w:sz w:val="24"/>
          <w:szCs w:val="24"/>
          <w:lang w:val="fr-BE"/>
        </w:rPr>
        <w:t>se renforce et qu’il y ait une plus forte collaboration entre les correspondants C</w:t>
      </w:r>
      <w:r w:rsidR="00E908DE">
        <w:rPr>
          <w:rFonts w:ascii="Calibri" w:hAnsi="Calibri"/>
          <w:sz w:val="24"/>
          <w:szCs w:val="24"/>
          <w:lang w:val="fr-BE"/>
        </w:rPr>
        <w:t>E</w:t>
      </w:r>
      <w:r w:rsidRPr="00BB78AF">
        <w:rPr>
          <w:rFonts w:ascii="Calibri" w:hAnsi="Calibri"/>
          <w:sz w:val="24"/>
          <w:szCs w:val="24"/>
          <w:lang w:val="fr-BE"/>
        </w:rPr>
        <w:t xml:space="preserve"> et les contacts nationaux</w:t>
      </w:r>
      <w:r w:rsidR="00BE3933">
        <w:rPr>
          <w:rFonts w:ascii="Calibri" w:hAnsi="Calibri"/>
          <w:sz w:val="24"/>
          <w:szCs w:val="24"/>
          <w:lang w:val="fr-BE"/>
        </w:rPr>
        <w:t>.</w:t>
      </w:r>
    </w:p>
    <w:p w:rsidR="00180D75" w:rsidRPr="00BB78AF" w:rsidRDefault="00BE3933" w:rsidP="00BB78AF">
      <w:pPr>
        <w:ind w:left="2880"/>
        <w:rPr>
          <w:rFonts w:ascii="Calibri" w:hAnsi="Calibri"/>
          <w:sz w:val="24"/>
          <w:szCs w:val="24"/>
          <w:lang w:val="fr-BE"/>
        </w:rPr>
      </w:pPr>
      <w:r>
        <w:rPr>
          <w:rFonts w:ascii="Calibri" w:hAnsi="Calibri"/>
          <w:sz w:val="24"/>
          <w:szCs w:val="24"/>
          <w:lang w:val="fr-BE"/>
        </w:rPr>
        <w:t>Il faut aussi savoir que la participation des PH à la sélection des projets a été nulle et que dans la plupart des régions, malgré leurs demandes répétées, les associations de PH ne participent même pas au comité de suivi</w:t>
      </w:r>
    </w:p>
    <w:p w:rsidR="00180D75" w:rsidRPr="00BB78AF" w:rsidRDefault="00180D75" w:rsidP="00AF25AE">
      <w:pPr>
        <w:pStyle w:val="ListParagraph"/>
        <w:numPr>
          <w:ilvl w:val="0"/>
          <w:numId w:val="8"/>
        </w:numPr>
        <w:ind w:left="1843"/>
        <w:rPr>
          <w:rFonts w:ascii="Calibri" w:hAnsi="Calibri"/>
          <w:b/>
          <w:sz w:val="28"/>
          <w:szCs w:val="28"/>
          <w:u w:val="single"/>
          <w:lang w:val="fr-BE"/>
        </w:rPr>
      </w:pPr>
      <w:commentRangeStart w:id="6"/>
      <w:r w:rsidRPr="00BB78AF">
        <w:rPr>
          <w:rFonts w:ascii="Calibri" w:hAnsi="Calibri"/>
          <w:b/>
          <w:sz w:val="28"/>
          <w:szCs w:val="28"/>
          <w:u w:val="single"/>
          <w:lang w:val="fr-BE"/>
        </w:rPr>
        <w:t>La directive égalité des chances</w:t>
      </w:r>
      <w:commentRangeEnd w:id="6"/>
      <w:r w:rsidR="00BE3933">
        <w:rPr>
          <w:rStyle w:val="CommentReference"/>
          <w:rFonts w:asciiTheme="minorHAnsi" w:hAnsiTheme="minorHAnsi" w:cstheme="minorBidi"/>
          <w:lang w:eastAsia="en-US"/>
        </w:rPr>
        <w:commentReference w:id="6"/>
      </w:r>
    </w:p>
    <w:p w:rsidR="00E30CFB" w:rsidRPr="00180D75" w:rsidRDefault="00570119" w:rsidP="00AF25AE">
      <w:pPr>
        <w:pStyle w:val="ListParagraph"/>
        <w:spacing w:after="480"/>
        <w:ind w:left="2880"/>
        <w:rPr>
          <w:rFonts w:ascii="Calibri" w:hAnsi="Calibri"/>
          <w:b/>
          <w:lang w:val="fr-BE"/>
        </w:rPr>
      </w:pPr>
      <w:r>
        <w:rPr>
          <w:rFonts w:ascii="Calibri" w:hAnsi="Calibri"/>
          <w:lang w:val="fr-BE"/>
        </w:rPr>
        <w:t>Elle s</w:t>
      </w:r>
      <w:r w:rsidR="00BB78AF" w:rsidRPr="00BB78AF">
        <w:rPr>
          <w:rFonts w:ascii="Calibri" w:hAnsi="Calibri"/>
          <w:lang w:val="fr-BE"/>
        </w:rPr>
        <w:t>’est vidée de sa substance au cours des négociations. Il est temps d’arrêter cela et la Commission européenne doit e</w:t>
      </w:r>
      <w:r w:rsidR="00180D75" w:rsidRPr="00BB78AF">
        <w:rPr>
          <w:rFonts w:ascii="Calibri" w:hAnsi="Calibri"/>
          <w:lang w:val="fr-BE"/>
        </w:rPr>
        <w:t>nvoyer un signal fort au Conseil </w:t>
      </w:r>
      <w:r w:rsidR="00BB78AF" w:rsidRPr="00BB78AF">
        <w:rPr>
          <w:rFonts w:ascii="Calibri" w:hAnsi="Calibri"/>
          <w:lang w:val="fr-BE"/>
        </w:rPr>
        <w:t xml:space="preserve"> selon lequel</w:t>
      </w:r>
      <w:r w:rsidR="00180D75" w:rsidRPr="00BB78AF">
        <w:rPr>
          <w:rFonts w:ascii="Calibri" w:hAnsi="Calibri"/>
          <w:lang w:val="fr-BE"/>
        </w:rPr>
        <w:t xml:space="preserve"> la directive emploi de 2000 est déterminante </w:t>
      </w:r>
      <w:r w:rsidR="00BB78AF" w:rsidRPr="00BB78AF">
        <w:rPr>
          <w:rFonts w:ascii="Calibri" w:hAnsi="Calibri"/>
          <w:lang w:val="fr-BE"/>
        </w:rPr>
        <w:t>mais ne suffit pas à l’inclusion des PH.</w:t>
      </w:r>
      <w:r w:rsidR="00BB78AF">
        <w:rPr>
          <w:rFonts w:ascii="Calibri" w:hAnsi="Calibri"/>
          <w:b/>
          <w:lang w:val="fr-BE"/>
        </w:rPr>
        <w:t xml:space="preserve"> Si l’inclusion présente un coût, c’est aussi un marché économique !</w:t>
      </w:r>
    </w:p>
    <w:p w:rsidR="002E1EA5" w:rsidRPr="001A0224" w:rsidRDefault="002E1EA5" w:rsidP="00AF25AE">
      <w:pPr>
        <w:pStyle w:val="ListParagraph"/>
        <w:numPr>
          <w:ilvl w:val="1"/>
          <w:numId w:val="6"/>
        </w:numPr>
        <w:ind w:left="709"/>
        <w:rPr>
          <w:rFonts w:ascii="Calibri" w:hAnsi="Calibri"/>
          <w:b/>
          <w:lang w:val="fr-BE"/>
        </w:rPr>
      </w:pPr>
      <w:r w:rsidRPr="001A0224">
        <w:rPr>
          <w:rFonts w:ascii="Calibri" w:hAnsi="Calibri"/>
          <w:b/>
          <w:lang w:val="fr-BE"/>
        </w:rPr>
        <w:t>Structures article 33</w:t>
      </w:r>
    </w:p>
    <w:p w:rsidR="002E1EA5" w:rsidRPr="00592892" w:rsidRDefault="002E1EA5" w:rsidP="00AF25AE">
      <w:pPr>
        <w:pStyle w:val="ListParagraph"/>
        <w:numPr>
          <w:ilvl w:val="2"/>
          <w:numId w:val="6"/>
        </w:numPr>
        <w:spacing w:after="600"/>
        <w:ind w:left="1275" w:hanging="181"/>
        <w:rPr>
          <w:rFonts w:ascii="Calibri" w:hAnsi="Calibri"/>
          <w:b/>
          <w:highlight w:val="yellow"/>
          <w:lang w:val="fr-BE"/>
        </w:rPr>
      </w:pPr>
      <w:r w:rsidRPr="00592892">
        <w:rPr>
          <w:rFonts w:ascii="Calibri" w:hAnsi="Calibri"/>
          <w:b/>
          <w:highlight w:val="yellow"/>
          <w:lang w:val="fr-BE"/>
        </w:rPr>
        <w:t xml:space="preserve">Ce qui est attendu de l’UE : </w:t>
      </w:r>
      <w:r w:rsidR="00E30CFB" w:rsidRPr="00592892">
        <w:rPr>
          <w:rFonts w:ascii="Calibri" w:hAnsi="Calibri"/>
          <w:b/>
          <w:highlight w:val="yellow"/>
          <w:lang w:val="fr-BE"/>
        </w:rPr>
        <w:t>officialiser le r</w:t>
      </w:r>
      <w:commentRangeStart w:id="7"/>
      <w:r w:rsidRPr="00592892">
        <w:rPr>
          <w:rFonts w:ascii="Calibri" w:hAnsi="Calibri"/>
          <w:b/>
          <w:highlight w:val="yellow"/>
          <w:lang w:val="fr-BE"/>
        </w:rPr>
        <w:t>ôle de la Commission  européenne en tant que Focal Point!!!!</w:t>
      </w:r>
      <w:commentRangeEnd w:id="7"/>
      <w:r w:rsidRPr="00592892">
        <w:rPr>
          <w:rStyle w:val="CommentReference"/>
          <w:rFonts w:ascii="Calibri" w:hAnsi="Calibri" w:cstheme="minorBidi"/>
          <w:highlight w:val="yellow"/>
          <w:lang w:eastAsia="en-US"/>
        </w:rPr>
        <w:commentReference w:id="7"/>
      </w:r>
    </w:p>
    <w:p w:rsidR="008A06E5" w:rsidRDefault="008A06E5" w:rsidP="008A06E5">
      <w:pPr>
        <w:pBdr>
          <w:top w:val="single" w:sz="4" w:space="1" w:color="auto"/>
          <w:left w:val="single" w:sz="4" w:space="4" w:color="auto"/>
          <w:bottom w:val="single" w:sz="4" w:space="1" w:color="auto"/>
          <w:right w:val="single" w:sz="4" w:space="4" w:color="auto"/>
        </w:pBdr>
        <w:rPr>
          <w:b/>
          <w:sz w:val="28"/>
          <w:szCs w:val="28"/>
          <w:lang w:val="fr-BE"/>
        </w:rPr>
      </w:pPr>
      <w:r>
        <w:rPr>
          <w:b/>
          <w:sz w:val="28"/>
          <w:szCs w:val="28"/>
          <w:lang w:val="fr-BE"/>
        </w:rPr>
        <w:t xml:space="preserve">IL FAUT SORTIT DE LA DISCUSSION AVEC </w:t>
      </w:r>
    </w:p>
    <w:p w:rsidR="008A06E5" w:rsidRDefault="008A06E5" w:rsidP="008A06E5">
      <w:pPr>
        <w:pStyle w:val="List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b/>
          <w:sz w:val="28"/>
          <w:szCs w:val="28"/>
          <w:lang w:val="fr-BE"/>
        </w:rPr>
      </w:pPr>
      <w:r w:rsidRPr="00592892">
        <w:rPr>
          <w:rFonts w:asciiTheme="minorHAnsi" w:hAnsiTheme="minorHAnsi"/>
          <w:b/>
          <w:sz w:val="28"/>
          <w:szCs w:val="28"/>
          <w:lang w:val="fr-BE"/>
        </w:rPr>
        <w:t xml:space="preserve">DES ENGAGEMENTS </w:t>
      </w:r>
      <w:r>
        <w:rPr>
          <w:rFonts w:asciiTheme="minorHAnsi" w:hAnsiTheme="minorHAnsi"/>
          <w:b/>
          <w:sz w:val="28"/>
          <w:szCs w:val="28"/>
          <w:lang w:val="fr-BE"/>
        </w:rPr>
        <w:t>CONCRETS de la C</w:t>
      </w:r>
      <w:r w:rsidR="00E908DE">
        <w:rPr>
          <w:rFonts w:asciiTheme="minorHAnsi" w:hAnsiTheme="minorHAnsi"/>
          <w:b/>
          <w:sz w:val="28"/>
          <w:szCs w:val="28"/>
          <w:lang w:val="fr-BE"/>
        </w:rPr>
        <w:t>E</w:t>
      </w:r>
    </w:p>
    <w:p w:rsidR="008A06E5" w:rsidRDefault="008A06E5" w:rsidP="008A06E5">
      <w:pPr>
        <w:pStyle w:val="List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b/>
          <w:sz w:val="28"/>
          <w:szCs w:val="28"/>
          <w:lang w:val="fr-BE"/>
        </w:rPr>
      </w:pPr>
      <w:r>
        <w:rPr>
          <w:rFonts w:asciiTheme="minorHAnsi" w:hAnsiTheme="minorHAnsi"/>
          <w:b/>
          <w:sz w:val="28"/>
          <w:szCs w:val="28"/>
          <w:lang w:val="fr-BE"/>
        </w:rPr>
        <w:lastRenderedPageBreak/>
        <w:t>UNE METHODE DE TRAVAIL PARTICIPATIVE AVEC L’EDF</w:t>
      </w:r>
    </w:p>
    <w:p w:rsidR="008A06E5" w:rsidRDefault="008A06E5" w:rsidP="008A06E5">
      <w:pPr>
        <w:pStyle w:val="List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b/>
          <w:sz w:val="28"/>
          <w:szCs w:val="28"/>
          <w:lang w:val="fr-BE"/>
        </w:rPr>
      </w:pPr>
      <w:r>
        <w:rPr>
          <w:rFonts w:asciiTheme="minorHAnsi" w:hAnsiTheme="minorHAnsi"/>
          <w:b/>
          <w:sz w:val="28"/>
          <w:szCs w:val="28"/>
          <w:lang w:val="fr-BE"/>
        </w:rPr>
        <w:t>UNE METHODE DE TRAVAIL CONCRETE : groupes de travail techniques à créer per ex</w:t>
      </w:r>
      <w:r w:rsidR="00E908DE">
        <w:rPr>
          <w:rFonts w:asciiTheme="minorHAnsi" w:hAnsiTheme="minorHAnsi"/>
          <w:b/>
          <w:sz w:val="28"/>
          <w:szCs w:val="28"/>
          <w:lang w:val="fr-BE"/>
        </w:rPr>
        <w:t>emple</w:t>
      </w:r>
    </w:p>
    <w:p w:rsidR="008A06E5" w:rsidRPr="00592892" w:rsidRDefault="008A06E5" w:rsidP="008A06E5">
      <w:pPr>
        <w:pStyle w:val="List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b/>
          <w:sz w:val="28"/>
          <w:szCs w:val="28"/>
          <w:lang w:val="fr-BE"/>
        </w:rPr>
      </w:pPr>
      <w:r w:rsidRPr="00592892">
        <w:rPr>
          <w:rFonts w:asciiTheme="minorHAnsi" w:hAnsiTheme="minorHAnsi"/>
          <w:b/>
          <w:sz w:val="28"/>
          <w:szCs w:val="28"/>
          <w:lang w:val="fr-BE"/>
        </w:rPr>
        <w:t xml:space="preserve">UN CALENDRIER </w:t>
      </w:r>
      <w:r>
        <w:rPr>
          <w:rFonts w:asciiTheme="minorHAnsi" w:hAnsiTheme="minorHAnsi"/>
          <w:b/>
          <w:sz w:val="28"/>
          <w:szCs w:val="28"/>
          <w:lang w:val="fr-BE"/>
        </w:rPr>
        <w:t>de travail</w:t>
      </w:r>
    </w:p>
    <w:p w:rsidR="008A06E5" w:rsidRPr="00577B2D" w:rsidRDefault="008A06E5">
      <w:pPr>
        <w:rPr>
          <w:b/>
          <w:lang w:val="fr-BE"/>
        </w:rPr>
      </w:pPr>
    </w:p>
    <w:sectPr w:rsidR="008A06E5" w:rsidRPr="00577B2D">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uchenne Véronique" w:date="2015-03-31T10:10:00Z" w:initials="VDE">
    <w:p w:rsidR="00E30CFB" w:rsidRDefault="00E30CFB" w:rsidP="00E30CFB">
      <w:pPr>
        <w:pStyle w:val="CommentText"/>
      </w:pPr>
      <w:r>
        <w:rPr>
          <w:rStyle w:val="CommentReference"/>
        </w:rPr>
        <w:annotationRef/>
      </w:r>
      <w:r>
        <w:t xml:space="preserve">BDF </w:t>
      </w:r>
    </w:p>
  </w:comment>
  <w:comment w:id="2" w:author="Duchenne Véronique" w:date="2015-03-31T10:10:00Z" w:initials="VDE">
    <w:p w:rsidR="00E30CFB" w:rsidRDefault="00E30CFB" w:rsidP="00E30CFB">
      <w:pPr>
        <w:pStyle w:val="CommentText"/>
      </w:pPr>
      <w:r>
        <w:rPr>
          <w:rStyle w:val="CommentReference"/>
        </w:rPr>
        <w:annotationRef/>
      </w:r>
      <w:r>
        <w:t xml:space="preserve">EDF </w:t>
      </w:r>
    </w:p>
  </w:comment>
  <w:comment w:id="3" w:author="Duchenne Véronique" w:date="2015-03-31T10:10:00Z" w:initials="VDE">
    <w:p w:rsidR="00E30CFB" w:rsidRDefault="00E30CFB" w:rsidP="00E30CFB">
      <w:pPr>
        <w:pStyle w:val="CommentText"/>
      </w:pPr>
      <w:r>
        <w:rPr>
          <w:rStyle w:val="CommentReference"/>
        </w:rPr>
        <w:annotationRef/>
      </w:r>
      <w:r>
        <w:t xml:space="preserve">BDF </w:t>
      </w:r>
    </w:p>
  </w:comment>
  <w:comment w:id="4" w:author="Duchenne Véronique" w:date="2015-03-31T11:22:00Z" w:initials="VDE">
    <w:p w:rsidR="00BE3933" w:rsidRDefault="00BE3933">
      <w:pPr>
        <w:pStyle w:val="CommentText"/>
      </w:pPr>
      <w:r>
        <w:rPr>
          <w:rStyle w:val="CommentReference"/>
        </w:rPr>
        <w:annotationRef/>
      </w:r>
      <w:r>
        <w:t>EDF</w:t>
      </w:r>
    </w:p>
  </w:comment>
  <w:comment w:id="5" w:author="Duchenne Véronique" w:date="2015-03-31T11:25:00Z" w:initials="VDE">
    <w:p w:rsidR="00BE3933" w:rsidRDefault="00BE3933">
      <w:pPr>
        <w:pStyle w:val="CommentText"/>
      </w:pPr>
      <w:r>
        <w:rPr>
          <w:rStyle w:val="CommentReference"/>
        </w:rPr>
        <w:annotationRef/>
      </w:r>
      <w:r>
        <w:t>BDF</w:t>
      </w:r>
    </w:p>
  </w:comment>
  <w:comment w:id="6" w:author="Duchenne Véronique" w:date="2015-03-31T11:25:00Z" w:initials="VDE">
    <w:p w:rsidR="00BE3933" w:rsidRDefault="00BE3933">
      <w:pPr>
        <w:pStyle w:val="CommentText"/>
      </w:pPr>
      <w:r>
        <w:rPr>
          <w:rStyle w:val="CommentReference"/>
        </w:rPr>
        <w:annotationRef/>
      </w:r>
      <w:r>
        <w:t>EDF</w:t>
      </w:r>
    </w:p>
  </w:comment>
  <w:comment w:id="7" w:author="Duchenne Véronique" w:date="2015-03-30T18:15:00Z" w:initials="VDE">
    <w:p w:rsidR="002E1EA5" w:rsidRDefault="002E1EA5">
      <w:pPr>
        <w:pStyle w:val="CommentText"/>
      </w:pPr>
      <w:r>
        <w:rPr>
          <w:rStyle w:val="CommentReference"/>
        </w:rPr>
        <w:annotationRef/>
      </w:r>
      <w:r>
        <w:t xml:space="preserve">EDF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C1" w:rsidRDefault="001647C1" w:rsidP="001647C1">
      <w:pPr>
        <w:spacing w:after="0" w:line="240" w:lineRule="auto"/>
      </w:pPr>
      <w:r>
        <w:separator/>
      </w:r>
    </w:p>
  </w:endnote>
  <w:endnote w:type="continuationSeparator" w:id="0">
    <w:p w:rsidR="001647C1" w:rsidRDefault="001647C1" w:rsidP="0016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1787"/>
      <w:docPartObj>
        <w:docPartGallery w:val="Page Numbers (Bottom of Page)"/>
        <w:docPartUnique/>
      </w:docPartObj>
    </w:sdtPr>
    <w:sdtEndPr>
      <w:rPr>
        <w:noProof/>
      </w:rPr>
    </w:sdtEndPr>
    <w:sdtContent>
      <w:p w:rsidR="001647C1" w:rsidRDefault="001647C1">
        <w:pPr>
          <w:pStyle w:val="Footer"/>
          <w:jc w:val="right"/>
        </w:pPr>
        <w:r>
          <w:fldChar w:fldCharType="begin"/>
        </w:r>
        <w:r>
          <w:instrText xml:space="preserve"> PAGE   \* MERGEFORMAT </w:instrText>
        </w:r>
        <w:r>
          <w:fldChar w:fldCharType="separate"/>
        </w:r>
        <w:r w:rsidR="00570119">
          <w:rPr>
            <w:noProof/>
          </w:rPr>
          <w:t>1</w:t>
        </w:r>
        <w:r>
          <w:rPr>
            <w:noProof/>
          </w:rPr>
          <w:fldChar w:fldCharType="end"/>
        </w:r>
      </w:p>
    </w:sdtContent>
  </w:sdt>
  <w:p w:rsidR="001647C1" w:rsidRDefault="00164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C1" w:rsidRDefault="001647C1" w:rsidP="001647C1">
      <w:pPr>
        <w:spacing w:after="0" w:line="240" w:lineRule="auto"/>
      </w:pPr>
      <w:r>
        <w:separator/>
      </w:r>
    </w:p>
  </w:footnote>
  <w:footnote w:type="continuationSeparator" w:id="0">
    <w:p w:rsidR="001647C1" w:rsidRDefault="001647C1" w:rsidP="00164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7B8"/>
    <w:multiLevelType w:val="hybridMultilevel"/>
    <w:tmpl w:val="C45817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12EC1665"/>
    <w:multiLevelType w:val="hybridMultilevel"/>
    <w:tmpl w:val="97587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49D28D3"/>
    <w:multiLevelType w:val="hybridMultilevel"/>
    <w:tmpl w:val="A5147924"/>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nsid w:val="42C71EDA"/>
    <w:multiLevelType w:val="hybridMultilevel"/>
    <w:tmpl w:val="402AEF24"/>
    <w:lvl w:ilvl="0" w:tplc="0809000F">
      <w:start w:val="1"/>
      <w:numFmt w:val="decimal"/>
      <w:lvlText w:val="%1."/>
      <w:lvlJc w:val="left"/>
      <w:pPr>
        <w:ind w:left="720" w:hanging="360"/>
      </w:pPr>
    </w:lvl>
    <w:lvl w:ilvl="1" w:tplc="08090019">
      <w:start w:val="1"/>
      <w:numFmt w:val="lowerLetter"/>
      <w:lvlText w:val="%2."/>
      <w:lvlJc w:val="left"/>
      <w:pPr>
        <w:ind w:left="1637"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C7A6E900">
      <w:start w:val="20"/>
      <w:numFmt w:val="bullet"/>
      <w:lvlText w:val="-"/>
      <w:lvlJc w:val="left"/>
      <w:pPr>
        <w:ind w:left="4500" w:hanging="360"/>
      </w:pPr>
      <w:rPr>
        <w:rFonts w:ascii="Times New Roman" w:eastAsiaTheme="minorHAnsi" w:hAnsi="Times New Roman" w:cs="Times New Roman"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895B4C"/>
    <w:multiLevelType w:val="hybridMultilevel"/>
    <w:tmpl w:val="75F0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A1307E"/>
    <w:multiLevelType w:val="hybridMultilevel"/>
    <w:tmpl w:val="44F85E02"/>
    <w:lvl w:ilvl="0" w:tplc="A79A5C38">
      <w:start w:val="20"/>
      <w:numFmt w:val="bullet"/>
      <w:lvlText w:val=""/>
      <w:lvlJc w:val="left"/>
      <w:pPr>
        <w:ind w:left="1997" w:hanging="360"/>
      </w:pPr>
      <w:rPr>
        <w:rFonts w:ascii="Wingdings" w:eastAsiaTheme="minorHAnsi" w:hAnsi="Wingdings" w:cs="Times New Roman" w:hint="default"/>
      </w:rPr>
    </w:lvl>
    <w:lvl w:ilvl="1" w:tplc="08090003">
      <w:start w:val="1"/>
      <w:numFmt w:val="bullet"/>
      <w:lvlText w:val="o"/>
      <w:lvlJc w:val="left"/>
      <w:pPr>
        <w:ind w:left="2717" w:hanging="360"/>
      </w:pPr>
      <w:rPr>
        <w:rFonts w:ascii="Courier New" w:hAnsi="Courier New" w:cs="Courier New" w:hint="default"/>
      </w:rPr>
    </w:lvl>
    <w:lvl w:ilvl="2" w:tplc="08090005">
      <w:start w:val="1"/>
      <w:numFmt w:val="bullet"/>
      <w:lvlText w:val=""/>
      <w:lvlJc w:val="left"/>
      <w:pPr>
        <w:ind w:left="3437" w:hanging="360"/>
      </w:pPr>
      <w:rPr>
        <w:rFonts w:ascii="Wingdings" w:hAnsi="Wingdings" w:hint="default"/>
      </w:rPr>
    </w:lvl>
    <w:lvl w:ilvl="3" w:tplc="0809000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6">
    <w:nsid w:val="7109285A"/>
    <w:multiLevelType w:val="hybridMultilevel"/>
    <w:tmpl w:val="648477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7A893DD8"/>
    <w:multiLevelType w:val="hybridMultilevel"/>
    <w:tmpl w:val="9B9E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0"/>
  </w:num>
  <w:num w:numId="5">
    <w:abstractNumId w:val="4"/>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BF"/>
    <w:rsid w:val="001647C1"/>
    <w:rsid w:val="00180D75"/>
    <w:rsid w:val="001A0224"/>
    <w:rsid w:val="001D284B"/>
    <w:rsid w:val="00210AF5"/>
    <w:rsid w:val="002E1EA5"/>
    <w:rsid w:val="00570119"/>
    <w:rsid w:val="00577B2D"/>
    <w:rsid w:val="00592892"/>
    <w:rsid w:val="007637EC"/>
    <w:rsid w:val="00860CFE"/>
    <w:rsid w:val="008A06E5"/>
    <w:rsid w:val="009E536C"/>
    <w:rsid w:val="00A1582E"/>
    <w:rsid w:val="00AF25AE"/>
    <w:rsid w:val="00BB78AF"/>
    <w:rsid w:val="00BE3933"/>
    <w:rsid w:val="00C52BBF"/>
    <w:rsid w:val="00D25874"/>
    <w:rsid w:val="00DB6E0F"/>
    <w:rsid w:val="00E30CFB"/>
    <w:rsid w:val="00E45384"/>
    <w:rsid w:val="00E908DE"/>
    <w:rsid w:val="00ED0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BF"/>
    <w:pPr>
      <w:spacing w:after="0" w:line="240" w:lineRule="auto"/>
      <w:ind w:left="720"/>
    </w:pPr>
    <w:rPr>
      <w:rFonts w:ascii="Times New Roman" w:hAnsi="Times New Roman" w:cs="Times New Roman"/>
      <w:sz w:val="24"/>
      <w:szCs w:val="24"/>
      <w:lang w:eastAsia="en-GB"/>
    </w:rPr>
  </w:style>
  <w:style w:type="character" w:styleId="Hyperlink">
    <w:name w:val="Hyperlink"/>
    <w:basedOn w:val="DefaultParagraphFont"/>
    <w:uiPriority w:val="99"/>
    <w:unhideWhenUsed/>
    <w:rsid w:val="00577B2D"/>
    <w:rPr>
      <w:color w:val="0000FF" w:themeColor="hyperlink"/>
      <w:u w:val="single"/>
    </w:rPr>
  </w:style>
  <w:style w:type="character" w:styleId="CommentReference">
    <w:name w:val="annotation reference"/>
    <w:basedOn w:val="DefaultParagraphFont"/>
    <w:uiPriority w:val="99"/>
    <w:semiHidden/>
    <w:unhideWhenUsed/>
    <w:rsid w:val="002E1EA5"/>
    <w:rPr>
      <w:sz w:val="16"/>
      <w:szCs w:val="16"/>
    </w:rPr>
  </w:style>
  <w:style w:type="paragraph" w:styleId="CommentText">
    <w:name w:val="annotation text"/>
    <w:basedOn w:val="Normal"/>
    <w:link w:val="CommentTextChar"/>
    <w:uiPriority w:val="99"/>
    <w:semiHidden/>
    <w:unhideWhenUsed/>
    <w:rsid w:val="002E1EA5"/>
    <w:pPr>
      <w:spacing w:line="240" w:lineRule="auto"/>
    </w:pPr>
    <w:rPr>
      <w:sz w:val="20"/>
      <w:szCs w:val="20"/>
    </w:rPr>
  </w:style>
  <w:style w:type="character" w:customStyle="1" w:styleId="CommentTextChar">
    <w:name w:val="Comment Text Char"/>
    <w:basedOn w:val="DefaultParagraphFont"/>
    <w:link w:val="CommentText"/>
    <w:uiPriority w:val="99"/>
    <w:semiHidden/>
    <w:rsid w:val="002E1EA5"/>
    <w:rPr>
      <w:sz w:val="20"/>
      <w:szCs w:val="20"/>
    </w:rPr>
  </w:style>
  <w:style w:type="paragraph" w:styleId="CommentSubject">
    <w:name w:val="annotation subject"/>
    <w:basedOn w:val="CommentText"/>
    <w:next w:val="CommentText"/>
    <w:link w:val="CommentSubjectChar"/>
    <w:uiPriority w:val="99"/>
    <w:semiHidden/>
    <w:unhideWhenUsed/>
    <w:rsid w:val="002E1EA5"/>
    <w:rPr>
      <w:b/>
      <w:bCs/>
    </w:rPr>
  </w:style>
  <w:style w:type="character" w:customStyle="1" w:styleId="CommentSubjectChar">
    <w:name w:val="Comment Subject Char"/>
    <w:basedOn w:val="CommentTextChar"/>
    <w:link w:val="CommentSubject"/>
    <w:uiPriority w:val="99"/>
    <w:semiHidden/>
    <w:rsid w:val="002E1EA5"/>
    <w:rPr>
      <w:b/>
      <w:bCs/>
      <w:sz w:val="20"/>
      <w:szCs w:val="20"/>
    </w:rPr>
  </w:style>
  <w:style w:type="paragraph" w:styleId="BalloonText">
    <w:name w:val="Balloon Text"/>
    <w:basedOn w:val="Normal"/>
    <w:link w:val="BalloonTextChar"/>
    <w:uiPriority w:val="99"/>
    <w:semiHidden/>
    <w:unhideWhenUsed/>
    <w:rsid w:val="002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A5"/>
    <w:rPr>
      <w:rFonts w:ascii="Tahoma" w:hAnsi="Tahoma" w:cs="Tahoma"/>
      <w:sz w:val="16"/>
      <w:szCs w:val="16"/>
    </w:rPr>
  </w:style>
  <w:style w:type="paragraph" w:styleId="Revision">
    <w:name w:val="Revision"/>
    <w:hidden/>
    <w:uiPriority w:val="99"/>
    <w:semiHidden/>
    <w:rsid w:val="002E1EA5"/>
    <w:pPr>
      <w:spacing w:after="0" w:line="240" w:lineRule="auto"/>
    </w:pPr>
  </w:style>
  <w:style w:type="paragraph" w:styleId="Header">
    <w:name w:val="header"/>
    <w:basedOn w:val="Normal"/>
    <w:link w:val="HeaderChar"/>
    <w:uiPriority w:val="99"/>
    <w:unhideWhenUsed/>
    <w:rsid w:val="001647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47C1"/>
  </w:style>
  <w:style w:type="paragraph" w:styleId="Footer">
    <w:name w:val="footer"/>
    <w:basedOn w:val="Normal"/>
    <w:link w:val="FooterChar"/>
    <w:uiPriority w:val="99"/>
    <w:unhideWhenUsed/>
    <w:rsid w:val="001647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4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BF"/>
    <w:pPr>
      <w:spacing w:after="0" w:line="240" w:lineRule="auto"/>
      <w:ind w:left="720"/>
    </w:pPr>
    <w:rPr>
      <w:rFonts w:ascii="Times New Roman" w:hAnsi="Times New Roman" w:cs="Times New Roman"/>
      <w:sz w:val="24"/>
      <w:szCs w:val="24"/>
      <w:lang w:eastAsia="en-GB"/>
    </w:rPr>
  </w:style>
  <w:style w:type="character" w:styleId="Hyperlink">
    <w:name w:val="Hyperlink"/>
    <w:basedOn w:val="DefaultParagraphFont"/>
    <w:uiPriority w:val="99"/>
    <w:unhideWhenUsed/>
    <w:rsid w:val="00577B2D"/>
    <w:rPr>
      <w:color w:val="0000FF" w:themeColor="hyperlink"/>
      <w:u w:val="single"/>
    </w:rPr>
  </w:style>
  <w:style w:type="character" w:styleId="CommentReference">
    <w:name w:val="annotation reference"/>
    <w:basedOn w:val="DefaultParagraphFont"/>
    <w:uiPriority w:val="99"/>
    <w:semiHidden/>
    <w:unhideWhenUsed/>
    <w:rsid w:val="002E1EA5"/>
    <w:rPr>
      <w:sz w:val="16"/>
      <w:szCs w:val="16"/>
    </w:rPr>
  </w:style>
  <w:style w:type="paragraph" w:styleId="CommentText">
    <w:name w:val="annotation text"/>
    <w:basedOn w:val="Normal"/>
    <w:link w:val="CommentTextChar"/>
    <w:uiPriority w:val="99"/>
    <w:semiHidden/>
    <w:unhideWhenUsed/>
    <w:rsid w:val="002E1EA5"/>
    <w:pPr>
      <w:spacing w:line="240" w:lineRule="auto"/>
    </w:pPr>
    <w:rPr>
      <w:sz w:val="20"/>
      <w:szCs w:val="20"/>
    </w:rPr>
  </w:style>
  <w:style w:type="character" w:customStyle="1" w:styleId="CommentTextChar">
    <w:name w:val="Comment Text Char"/>
    <w:basedOn w:val="DefaultParagraphFont"/>
    <w:link w:val="CommentText"/>
    <w:uiPriority w:val="99"/>
    <w:semiHidden/>
    <w:rsid w:val="002E1EA5"/>
    <w:rPr>
      <w:sz w:val="20"/>
      <w:szCs w:val="20"/>
    </w:rPr>
  </w:style>
  <w:style w:type="paragraph" w:styleId="CommentSubject">
    <w:name w:val="annotation subject"/>
    <w:basedOn w:val="CommentText"/>
    <w:next w:val="CommentText"/>
    <w:link w:val="CommentSubjectChar"/>
    <w:uiPriority w:val="99"/>
    <w:semiHidden/>
    <w:unhideWhenUsed/>
    <w:rsid w:val="002E1EA5"/>
    <w:rPr>
      <w:b/>
      <w:bCs/>
    </w:rPr>
  </w:style>
  <w:style w:type="character" w:customStyle="1" w:styleId="CommentSubjectChar">
    <w:name w:val="Comment Subject Char"/>
    <w:basedOn w:val="CommentTextChar"/>
    <w:link w:val="CommentSubject"/>
    <w:uiPriority w:val="99"/>
    <w:semiHidden/>
    <w:rsid w:val="002E1EA5"/>
    <w:rPr>
      <w:b/>
      <w:bCs/>
      <w:sz w:val="20"/>
      <w:szCs w:val="20"/>
    </w:rPr>
  </w:style>
  <w:style w:type="paragraph" w:styleId="BalloonText">
    <w:name w:val="Balloon Text"/>
    <w:basedOn w:val="Normal"/>
    <w:link w:val="BalloonTextChar"/>
    <w:uiPriority w:val="99"/>
    <w:semiHidden/>
    <w:unhideWhenUsed/>
    <w:rsid w:val="002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A5"/>
    <w:rPr>
      <w:rFonts w:ascii="Tahoma" w:hAnsi="Tahoma" w:cs="Tahoma"/>
      <w:sz w:val="16"/>
      <w:szCs w:val="16"/>
    </w:rPr>
  </w:style>
  <w:style w:type="paragraph" w:styleId="Revision">
    <w:name w:val="Revision"/>
    <w:hidden/>
    <w:uiPriority w:val="99"/>
    <w:semiHidden/>
    <w:rsid w:val="002E1EA5"/>
    <w:pPr>
      <w:spacing w:after="0" w:line="240" w:lineRule="auto"/>
    </w:pPr>
  </w:style>
  <w:style w:type="paragraph" w:styleId="Header">
    <w:name w:val="header"/>
    <w:basedOn w:val="Normal"/>
    <w:link w:val="HeaderChar"/>
    <w:uiPriority w:val="99"/>
    <w:unhideWhenUsed/>
    <w:rsid w:val="001647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47C1"/>
  </w:style>
  <w:style w:type="paragraph" w:styleId="Footer">
    <w:name w:val="footer"/>
    <w:basedOn w:val="Normal"/>
    <w:link w:val="FooterChar"/>
    <w:uiPriority w:val="99"/>
    <w:unhideWhenUsed/>
    <w:rsid w:val="001647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62273">
      <w:bodyDiv w:val="1"/>
      <w:marLeft w:val="0"/>
      <w:marRight w:val="0"/>
      <w:marTop w:val="0"/>
      <w:marBottom w:val="0"/>
      <w:divBdr>
        <w:top w:val="none" w:sz="0" w:space="0" w:color="auto"/>
        <w:left w:val="none" w:sz="0" w:space="0" w:color="auto"/>
        <w:bottom w:val="none" w:sz="0" w:space="0" w:color="auto"/>
        <w:right w:val="none" w:sz="0" w:space="0" w:color="auto"/>
      </w:divBdr>
    </w:div>
    <w:div w:id="1063871383">
      <w:bodyDiv w:val="1"/>
      <w:marLeft w:val="0"/>
      <w:marRight w:val="0"/>
      <w:marTop w:val="0"/>
      <w:marBottom w:val="0"/>
      <w:divBdr>
        <w:top w:val="none" w:sz="0" w:space="0" w:color="auto"/>
        <w:left w:val="none" w:sz="0" w:space="0" w:color="auto"/>
        <w:bottom w:val="none" w:sz="0" w:space="0" w:color="auto"/>
        <w:right w:val="none" w:sz="0" w:space="0" w:color="auto"/>
      </w:divBdr>
    </w:div>
    <w:div w:id="20834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Jessica.WILLIAMS@ec.europa.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24D34-6AF5-4030-AC36-1DD8FC19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6088</Characters>
  <Application>Microsoft Office Word</Application>
  <DocSecurity>4</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FOD Sociale Zekerheid / SPF Sécurité Sociale</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Duchenne Véronique</dc:creator>
  <cp:lastModifiedBy>Duchenne Véronique</cp:lastModifiedBy>
  <cp:revision>2</cp:revision>
  <dcterms:created xsi:type="dcterms:W3CDTF">2015-04-01T13:02:00Z</dcterms:created>
  <dcterms:modified xsi:type="dcterms:W3CDTF">2015-04-01T13:02:00Z</dcterms:modified>
</cp:coreProperties>
</file>