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1" w:rsidRDefault="000C5B61" w:rsidP="000C5B61">
      <w:pPr>
        <w:outlineLvl w:val="0"/>
        <w:rPr>
          <w:rFonts w:ascii="Tahoma" w:hAnsi="Tahoma" w:cs="Tahoma"/>
          <w:sz w:val="20"/>
          <w:szCs w:val="20"/>
          <w:lang w:val="fr-FR" w:eastAsia="fr-BE"/>
        </w:rPr>
      </w:pPr>
      <w:r>
        <w:rPr>
          <w:rFonts w:ascii="Tahoma" w:hAnsi="Tahoma" w:cs="Tahoma"/>
          <w:b/>
          <w:bCs/>
          <w:sz w:val="20"/>
          <w:szCs w:val="20"/>
          <w:lang w:val="fr-FR" w:eastAsia="fr-BE"/>
        </w:rPr>
        <w:t>De :</w:t>
      </w:r>
      <w:r>
        <w:rPr>
          <w:rFonts w:ascii="Tahoma" w:hAnsi="Tahoma" w:cs="Tahoma"/>
          <w:sz w:val="20"/>
          <w:szCs w:val="20"/>
          <w:lang w:val="fr-FR" w:eastAsia="fr-BE"/>
        </w:rPr>
        <w:t xml:space="preserve"> Ramboux Anne </w:t>
      </w:r>
      <w:r>
        <w:rPr>
          <w:rFonts w:ascii="Tahoma" w:hAnsi="Tahoma" w:cs="Tahoma"/>
          <w:sz w:val="20"/>
          <w:szCs w:val="20"/>
          <w:lang w:val="fr-FR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fr-BE"/>
        </w:rPr>
        <w:t>Envoyé :</w:t>
      </w:r>
      <w:r>
        <w:rPr>
          <w:rFonts w:ascii="Tahoma" w:hAnsi="Tahoma" w:cs="Tahoma"/>
          <w:sz w:val="20"/>
          <w:szCs w:val="20"/>
          <w:lang w:val="fr-FR" w:eastAsia="fr-BE"/>
        </w:rPr>
        <w:t xml:space="preserve"> mardi 7 juillet 2015 13:34</w:t>
      </w:r>
      <w:r>
        <w:rPr>
          <w:rFonts w:ascii="Tahoma" w:hAnsi="Tahoma" w:cs="Tahoma"/>
          <w:sz w:val="20"/>
          <w:szCs w:val="20"/>
          <w:lang w:val="fr-FR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fr-BE"/>
        </w:rPr>
        <w:t>À :</w:t>
      </w:r>
      <w:r>
        <w:rPr>
          <w:rFonts w:ascii="Tahoma" w:hAnsi="Tahoma" w:cs="Tahoma"/>
          <w:sz w:val="20"/>
          <w:szCs w:val="20"/>
          <w:lang w:val="fr-FR" w:eastAsia="fr-BE"/>
        </w:rPr>
        <w:t xml:space="preserve"> Tresegnie Daniel; Magritte Olivier; Duchenne Véronique</w:t>
      </w:r>
      <w:r>
        <w:rPr>
          <w:rFonts w:ascii="Tahoma" w:hAnsi="Tahoma" w:cs="Tahoma"/>
          <w:sz w:val="20"/>
          <w:szCs w:val="20"/>
          <w:lang w:val="fr-FR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fr-BE"/>
        </w:rPr>
        <w:t>Objet :</w:t>
      </w:r>
      <w:r>
        <w:rPr>
          <w:rFonts w:ascii="Tahoma" w:hAnsi="Tahoma" w:cs="Tahoma"/>
          <w:sz w:val="20"/>
          <w:szCs w:val="20"/>
          <w:lang w:val="fr-FR" w:eastAsia="fr-BE"/>
        </w:rPr>
        <w:t xml:space="preserve"> Attention ! Pacte international des Droits civils et politiques</w:t>
      </w:r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rPr>
          <w:lang w:val="fr-BE"/>
        </w:rPr>
      </w:pPr>
      <w:r>
        <w:rPr>
          <w:lang w:val="fr-BE"/>
        </w:rPr>
        <w:t xml:space="preserve">Dernier rapport belge (+ RA-BDF) en 2010 : </w:t>
      </w:r>
      <w:hyperlink r:id="rId6" w:history="1">
        <w:r>
          <w:rPr>
            <w:rStyle w:val="Lienhypertexte"/>
            <w:lang w:val="fr-BE"/>
          </w:rPr>
          <w:t>http://www.ccprcentre.org/country/belgium/</w:t>
        </w:r>
      </w:hyperlink>
    </w:p>
    <w:p w:rsidR="000C5B61" w:rsidRDefault="000C5B61" w:rsidP="000C5B61">
      <w:pPr>
        <w:rPr>
          <w:lang w:val="fr-BE"/>
        </w:rPr>
      </w:pPr>
      <w:r>
        <w:rPr>
          <w:lang w:val="fr-BE"/>
        </w:rPr>
        <w:t xml:space="preserve">Observations finales du Comité des droits de l’homme : </w:t>
      </w:r>
      <w:hyperlink r:id="rId7" w:history="1">
        <w:r>
          <w:rPr>
            <w:rStyle w:val="Lienhypertexte"/>
            <w:lang w:val="fr-BE"/>
          </w:rPr>
          <w:t>https://1168.fedimbo.belgium.be/sites/1168.fedimbo.belgium.be/files/explorer/G1046713.pdf</w:t>
        </w:r>
      </w:hyperlink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rPr>
          <w:lang w:val="fr-BE"/>
        </w:rPr>
      </w:pPr>
      <w:r>
        <w:rPr>
          <w:lang w:val="fr-BE"/>
        </w:rPr>
        <w:t xml:space="preserve">Prochain rapport belge d’ici à octobre 2015 (‘report due by </w:t>
      </w:r>
      <w:proofErr w:type="spellStart"/>
      <w:r>
        <w:rPr>
          <w:lang w:val="fr-BE"/>
        </w:rPr>
        <w:t>October</w:t>
      </w:r>
      <w:proofErr w:type="spellEnd"/>
      <w:r>
        <w:rPr>
          <w:lang w:val="fr-BE"/>
        </w:rPr>
        <w:t xml:space="preserve"> 2015’). </w:t>
      </w:r>
    </w:p>
    <w:p w:rsidR="000C5B61" w:rsidRDefault="000C5B61" w:rsidP="000C5B61">
      <w:pPr>
        <w:rPr>
          <w:lang w:val="fr-BE"/>
        </w:rPr>
      </w:pPr>
      <w:r>
        <w:rPr>
          <w:lang w:val="fr-BE"/>
        </w:rPr>
        <w:t>Calendrier des sessions du Comité (</w:t>
      </w:r>
      <w:hyperlink r:id="rId8" w:history="1">
        <w:r>
          <w:rPr>
            <w:rStyle w:val="Lienhypertexte"/>
            <w:lang w:val="fr-BE"/>
          </w:rPr>
          <w:t>http://www.ccprcentre.org/next-session/</w:t>
        </w:r>
      </w:hyperlink>
      <w:r>
        <w:rPr>
          <w:lang w:val="fr-BE"/>
        </w:rPr>
        <w:t>) : Belgique prévue en 116</w:t>
      </w:r>
      <w:r>
        <w:rPr>
          <w:vertAlign w:val="superscript"/>
          <w:lang w:val="fr-BE"/>
        </w:rPr>
        <w:t>ème</w:t>
      </w:r>
      <w:r>
        <w:rPr>
          <w:lang w:val="fr-BE"/>
        </w:rPr>
        <w:t xml:space="preserve"> session (7-24 mars 2016)</w:t>
      </w:r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rPr>
          <w:lang w:val="fr-BE"/>
        </w:rPr>
      </w:pPr>
      <w:r>
        <w:rPr>
          <w:lang w:val="fr-BE"/>
        </w:rPr>
        <w:t xml:space="preserve">Généralités rapportage officiel et ONG : </w:t>
      </w:r>
      <w:hyperlink r:id="rId9" w:history="1">
        <w:r>
          <w:rPr>
            <w:rStyle w:val="Lienhypertexte"/>
            <w:lang w:val="fr-BE"/>
          </w:rPr>
          <w:t>http://www.ccprcentre.org/state-reporting/</w:t>
        </w:r>
      </w:hyperlink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rPr>
          <w:lang w:val="fr-BE"/>
        </w:rPr>
      </w:pPr>
      <w:r>
        <w:rPr>
          <w:b/>
          <w:bCs/>
          <w:lang w:val="fr-BE"/>
        </w:rPr>
        <w:t>Directives pour les ONG</w:t>
      </w:r>
      <w:r>
        <w:rPr>
          <w:lang w:val="fr-BE"/>
        </w:rPr>
        <w:t xml:space="preserve"> : </w:t>
      </w:r>
      <w:hyperlink r:id="rId10" w:history="1">
        <w:r>
          <w:rPr>
            <w:rStyle w:val="Lienhypertexte"/>
            <w:lang w:val="fr-BE"/>
          </w:rPr>
          <w:t>http://ccprcentre.org/doc/CCPR/Handbook/CCPR_Guidelines%20for%20NGOs_Fr.pdf</w:t>
        </w:r>
      </w:hyperlink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b/>
          <w:bCs/>
          <w:u w:val="single"/>
          <w:lang w:val="fr-BE"/>
        </w:rPr>
        <w:t>Page 23</w:t>
      </w:r>
      <w:r>
        <w:rPr>
          <w:lang w:val="fr-BE"/>
        </w:rPr>
        <w:t> :</w:t>
      </w:r>
    </w:p>
    <w:p w:rsidR="000C5B61" w:rsidRDefault="000C5B61" w:rsidP="000C5B61">
      <w:pPr>
        <w:rPr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0070C0"/>
          <w:sz w:val="20"/>
          <w:szCs w:val="20"/>
          <w:lang w:val="fr-BE"/>
        </w:rPr>
      </w:pPr>
      <w:r>
        <w:rPr>
          <w:rFonts w:ascii="HelveticaNeue" w:hAnsi="HelveticaNeue"/>
          <w:color w:val="0070C0"/>
          <w:sz w:val="20"/>
          <w:szCs w:val="20"/>
          <w:lang w:val="fr-BE"/>
        </w:rPr>
        <w:t>Quand les ONG doivent-elles soumettre leurs notes écrites ?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000000"/>
          <w:sz w:val="20"/>
          <w:szCs w:val="20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i/>
          <w:iCs/>
          <w:sz w:val="19"/>
          <w:szCs w:val="19"/>
          <w:lang w:val="fr-BE"/>
        </w:rPr>
      </w:pPr>
      <w:r>
        <w:rPr>
          <w:rFonts w:ascii="HelveticaNeue" w:hAnsi="HelveticaNeue"/>
          <w:i/>
          <w:iCs/>
          <w:sz w:val="19"/>
          <w:szCs w:val="19"/>
          <w:lang w:val="fr-BE"/>
        </w:rPr>
        <w:t>i. L’importance d’envoyer sa soumission avant l’adoption de la liste des points à traiter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Il est fortement recommandé de commencer la rédaction de notes ou rapports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dès le début du processus d’examen des rapports d’Etat. Les ONG peuvent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demander au Secrétariat du Comité ou au Centre CCPR une liste des pays qui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seront examinés lors des sessions à venir. Afin d’être pris en compte dans la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rédaction de la liste des points à traiter, les rapports d’ONG doivent être soumis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au Secrétariat au moins deux mois avant la session à laquelle la liste des points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à traiter devra être adoptée.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En effet, il est très utile de soumettre ces informations avant que le Comité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ne commence à rédiger la liste des points à traiter. En termes de stratégie de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plaidoyer, ces rapports ont plus de chances d’avoir un impact à ce stade car les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sujets de préoccupation mentionnés dans la liste des points à traiter formeront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ensuite la base du dialogue interactif avec l’Etat.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i/>
          <w:iCs/>
          <w:color w:val="000000"/>
          <w:sz w:val="19"/>
          <w:szCs w:val="19"/>
          <w:lang w:val="fr-BE"/>
        </w:rPr>
      </w:pPr>
      <w:r>
        <w:rPr>
          <w:rFonts w:ascii="HelveticaNeue" w:hAnsi="HelveticaNeue"/>
          <w:i/>
          <w:iCs/>
          <w:color w:val="000000"/>
          <w:sz w:val="19"/>
          <w:szCs w:val="19"/>
          <w:lang w:val="fr-BE"/>
        </w:rPr>
        <w:t>ii. Soumettre de l’information après l’adoption de la liste des points à traiter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000000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Une fois la liste des points à traiter adoptée, les ONG peuvent encore envoyer des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informations additionnelles au Comité. Cela peut prendre la forme de réponses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à la liste ou d’une mise à jour succincte du rapport qui a été soumis pour la liste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des points à traiter.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Si des sujets de préoccupation ne sont pas pris en compte dans la liste des points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à traiter, les ONG sont encouragées à fournir des informations additionnelles afin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que ceux-ci soient traités adéquatement dans le cadre du dialogue avec l’Etat.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Si les ONG n’ont pas été en mesure d’envoyer leurs rapports avant l’adoption de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la liste des points à traiter, ils peuvent, bien entendu, les envoyer plus tard. Ces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rapports pourront alors être pris en compte pendant le dialogue interactif.</w:t>
      </w: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0C5B61" w:rsidRDefault="000C5B61" w:rsidP="000C5B61">
      <w:pPr>
        <w:autoSpaceDE w:val="0"/>
        <w:autoSpaceDN w:val="0"/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Ces informations doivent être soumises au plus tard deux semaines avant le</w:t>
      </w:r>
    </w:p>
    <w:p w:rsidR="000C5B61" w:rsidRDefault="000C5B61" w:rsidP="000C5B61">
      <w:pPr>
        <w:rPr>
          <w:rFonts w:ascii="HelveticaNeue" w:hAnsi="HelveticaNeue"/>
          <w:color w:val="1A1A1A"/>
          <w:sz w:val="19"/>
          <w:szCs w:val="19"/>
          <w:lang w:val="fr-BE"/>
        </w:rPr>
      </w:pPr>
      <w:r>
        <w:rPr>
          <w:rFonts w:ascii="HelveticaNeue" w:hAnsi="HelveticaNeue"/>
          <w:color w:val="1A1A1A"/>
          <w:sz w:val="19"/>
          <w:szCs w:val="19"/>
          <w:lang w:val="fr-BE"/>
        </w:rPr>
        <w:t>début de la session à laquelle le rapport de l’Etat sera examiné.</w:t>
      </w:r>
    </w:p>
    <w:p w:rsidR="000C5B61" w:rsidRDefault="000C5B61" w:rsidP="000C5B61">
      <w:pPr>
        <w:rPr>
          <w:rFonts w:ascii="HelveticaNeue" w:hAnsi="HelveticaNeue"/>
          <w:color w:val="1A1A1A"/>
          <w:sz w:val="19"/>
          <w:szCs w:val="19"/>
          <w:lang w:val="fr-BE"/>
        </w:rPr>
      </w:pPr>
    </w:p>
    <w:p w:rsidR="008D7CD2" w:rsidRPr="000C5B61" w:rsidRDefault="008D7CD2">
      <w:pPr>
        <w:rPr>
          <w:lang w:val="fr-BE"/>
        </w:rPr>
      </w:pPr>
      <w:bookmarkStart w:id="0" w:name="_GoBack"/>
      <w:bookmarkEnd w:id="0"/>
    </w:p>
    <w:sectPr w:rsidR="008D7CD2" w:rsidRPr="000C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684743FF"/>
    <w:multiLevelType w:val="hybridMultilevel"/>
    <w:tmpl w:val="3492388C"/>
    <w:lvl w:ilvl="0" w:tplc="6B14382A">
      <w:start w:val="2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61"/>
    <w:rsid w:val="000253AE"/>
    <w:rsid w:val="00074AFC"/>
    <w:rsid w:val="000C5B61"/>
    <w:rsid w:val="00157A07"/>
    <w:rsid w:val="002E0AD7"/>
    <w:rsid w:val="002E77C1"/>
    <w:rsid w:val="00447183"/>
    <w:rsid w:val="005C5C9D"/>
    <w:rsid w:val="005E73AC"/>
    <w:rsid w:val="007E46F3"/>
    <w:rsid w:val="0085160B"/>
    <w:rsid w:val="008C1C0B"/>
    <w:rsid w:val="008D7CD2"/>
    <w:rsid w:val="00A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6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0C5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6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0C5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prcentre.org/next-sess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168.fedimbo.belgium.be/sites/1168.fedimbo.belgium.be/files/explorer/G10467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prcentre.org/country/belgiu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cprcentre.org/doc/CCPR/Handbook/CCPR_Guidelines%20for%20NGOs_F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prcentre.org/state-reportin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2015-09-10T15:02:00Z</dcterms:created>
  <dcterms:modified xsi:type="dcterms:W3CDTF">2015-09-10T15:04:00Z</dcterms:modified>
</cp:coreProperties>
</file>